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7B" w:rsidRPr="00D36A80" w:rsidRDefault="002E07D8" w:rsidP="00FC758F">
      <w:pPr>
        <w:spacing w:line="64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</w:rPr>
      </w:pPr>
      <w:r w:rsidRPr="00D36A8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杭州市公安局拱墅区分局政府信息</w:t>
      </w:r>
    </w:p>
    <w:p w:rsidR="002E07D8" w:rsidRPr="00D36A80" w:rsidRDefault="002E07D8" w:rsidP="00FC758F">
      <w:pPr>
        <w:spacing w:line="64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</w:rPr>
      </w:pPr>
      <w:r w:rsidRPr="00D36A80"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公开工作报告</w:t>
      </w:r>
    </w:p>
    <w:p w:rsidR="009835A7" w:rsidRPr="00D36A80" w:rsidRDefault="007A33DB" w:rsidP="00FC758F">
      <w:pPr>
        <w:spacing w:line="640" w:lineRule="exact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D36A80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（2023年度）</w:t>
      </w:r>
    </w:p>
    <w:p w:rsidR="007A33DB" w:rsidRPr="00D36A80" w:rsidRDefault="007A33DB" w:rsidP="007A33DB">
      <w:pPr>
        <w:spacing w:line="640" w:lineRule="exact"/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</w:p>
    <w:p w:rsidR="002E07D8" w:rsidRPr="00D36A80" w:rsidRDefault="002E07D8" w:rsidP="002E07D8">
      <w:pPr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根据《中华人民共和国政府信息公开条例》（以下简称《条例》），特向社会公布2023年度杭州市公安局拱墅区分局政府信息公开工作年度报告。</w:t>
      </w:r>
    </w:p>
    <w:p w:rsidR="002E07D8" w:rsidRPr="00D36A80" w:rsidRDefault="002E07D8" w:rsidP="002E07D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本报告中所列数据的统计期限自20</w:t>
      </w:r>
      <w:r w:rsidRPr="00D36A80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3年1月1日起至2023年12月31日止。</w:t>
      </w:r>
    </w:p>
    <w:p w:rsidR="002E07D8" w:rsidRPr="00D36A80" w:rsidRDefault="00613030" w:rsidP="00613030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36A80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2E07D8" w:rsidRPr="00D36A80">
        <w:rPr>
          <w:rFonts w:ascii="黑体" w:eastAsia="黑体" w:hAnsi="黑体" w:hint="eastAsia"/>
          <w:color w:val="000000" w:themeColor="text1"/>
          <w:sz w:val="32"/>
          <w:szCs w:val="32"/>
        </w:rPr>
        <w:t>总体情况</w:t>
      </w:r>
    </w:p>
    <w:p w:rsidR="002E07D8" w:rsidRPr="00D36A80" w:rsidRDefault="002E07D8" w:rsidP="002E07D8">
      <w:pPr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="00613030" w:rsidRPr="00D36A8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2023年杭州市公安</w:t>
      </w:r>
      <w:r w:rsidR="00EF556C" w:rsidRPr="00D36A80">
        <w:rPr>
          <w:rFonts w:ascii="仿宋_GB2312" w:eastAsia="仿宋_GB2312" w:hint="eastAsia"/>
          <w:color w:val="000000" w:themeColor="text1"/>
          <w:sz w:val="32"/>
          <w:szCs w:val="32"/>
        </w:rPr>
        <w:t>局拱墅区分局在区委区政府和上级公安机关的正确领导下，严格执行《中华人民共和国政府信息公开条例》，紧紧围绕公安中心工作和群众关注关切，</w:t>
      </w:r>
      <w:r w:rsidR="0013447B" w:rsidRPr="00D36A80">
        <w:rPr>
          <w:rFonts w:ascii="仿宋_GB2312" w:eastAsia="仿宋_GB2312" w:hint="eastAsia"/>
          <w:color w:val="000000" w:themeColor="text1"/>
          <w:sz w:val="32"/>
          <w:szCs w:val="32"/>
        </w:rPr>
        <w:t>深入推进主动公开，新闻发布和舆情回应，持续</w:t>
      </w:r>
      <w:r w:rsidR="00EF556C" w:rsidRPr="00D36A80">
        <w:rPr>
          <w:rFonts w:ascii="仿宋_GB2312" w:eastAsia="仿宋_GB2312" w:hint="eastAsia"/>
          <w:color w:val="000000" w:themeColor="text1"/>
          <w:sz w:val="32"/>
          <w:szCs w:val="32"/>
        </w:rPr>
        <w:t>健全政务公开机制</w:t>
      </w:r>
      <w:r w:rsidR="0013447B" w:rsidRPr="00D36A80">
        <w:rPr>
          <w:rFonts w:ascii="仿宋_GB2312" w:eastAsia="仿宋_GB2312" w:hint="eastAsia"/>
          <w:color w:val="000000" w:themeColor="text1"/>
          <w:sz w:val="32"/>
          <w:szCs w:val="32"/>
        </w:rPr>
        <w:t>，更好回应群众的新期待，在解决民生诉求、密切联系群众等方面取得了新的进展。</w:t>
      </w:r>
    </w:p>
    <w:p w:rsidR="0001004B" w:rsidRDefault="0001004B" w:rsidP="0001004B">
      <w:pPr>
        <w:pStyle w:val="a7"/>
        <w:spacing w:line="540" w:lineRule="exact"/>
        <w:ind w:left="0" w:firstLineChars="200" w:firstLine="618"/>
        <w:jc w:val="both"/>
        <w:rPr>
          <w:rFonts w:ascii="楷体_GB2312" w:eastAsia="楷体_GB2312"/>
          <w:b/>
          <w:spacing w:val="-6"/>
        </w:rPr>
      </w:pPr>
      <w:r>
        <w:rPr>
          <w:rFonts w:ascii="楷体_GB2312" w:eastAsia="楷体_GB2312" w:hint="eastAsia"/>
          <w:b/>
          <w:spacing w:val="-6"/>
        </w:rPr>
        <w:t>（一）主动公开</w:t>
      </w:r>
    </w:p>
    <w:p w:rsidR="002E07D8" w:rsidRPr="0001004B" w:rsidRDefault="0013447B" w:rsidP="0001004B">
      <w:pPr>
        <w:shd w:val="clear" w:color="auto" w:fill="FFFFFF"/>
        <w:overflowPunct w:val="0"/>
        <w:spacing w:line="500" w:lineRule="exact"/>
        <w:ind w:firstLineChars="200" w:firstLine="640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01004B">
        <w:rPr>
          <w:rFonts w:ascii="仿宋_GB2312" w:eastAsia="仿宋_GB2312" w:hint="eastAsia"/>
          <w:color w:val="000000" w:themeColor="text1"/>
          <w:sz w:val="32"/>
          <w:szCs w:val="32"/>
        </w:rPr>
        <w:t>认真履行全区公安机关信息公开主体责任，通过“杭州市拱墅区人民政府”拱墅区公安分局门户网站依法公开各类政府信息</w:t>
      </w:r>
      <w:r w:rsidR="00FC758F" w:rsidRPr="0001004B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FC758F" w:rsidRPr="0001004B">
        <w:rPr>
          <w:rFonts w:ascii="仿宋_GB2312" w:eastAsia="仿宋_GB2312"/>
          <w:color w:val="000000" w:themeColor="text1"/>
          <w:sz w:val="32"/>
          <w:szCs w:val="32"/>
        </w:rPr>
        <w:t>44</w:t>
      </w:r>
      <w:r w:rsidRPr="0001004B">
        <w:rPr>
          <w:rFonts w:ascii="仿宋_GB2312" w:eastAsia="仿宋_GB2312" w:hint="eastAsia"/>
          <w:color w:val="000000" w:themeColor="text1"/>
          <w:sz w:val="32"/>
          <w:szCs w:val="32"/>
        </w:rPr>
        <w:t>条，</w:t>
      </w:r>
      <w:r w:rsidR="00FC758F" w:rsidRPr="0001004B">
        <w:rPr>
          <w:rFonts w:ascii="仿宋_GB2312" w:eastAsia="仿宋_GB2312" w:hint="eastAsia"/>
          <w:color w:val="000000" w:themeColor="text1"/>
          <w:sz w:val="32"/>
          <w:szCs w:val="32"/>
        </w:rPr>
        <w:t>期中，机构设置3条，政策文件5条，规划计划8条，资金信息3条，人事信息1条，行政执法公开10条，重点领域信息公开11条，公告203条,</w:t>
      </w:r>
      <w:r w:rsidR="009835A7" w:rsidRPr="0001004B">
        <w:rPr>
          <w:rFonts w:ascii="仿宋_GB2312" w:eastAsia="仿宋_GB2312" w:hint="eastAsia"/>
          <w:color w:val="000000" w:themeColor="text1"/>
          <w:sz w:val="32"/>
          <w:szCs w:val="32"/>
        </w:rPr>
        <w:t>切实保障</w:t>
      </w:r>
      <w:r w:rsidR="00FC758F" w:rsidRPr="0001004B">
        <w:rPr>
          <w:rFonts w:ascii="仿宋_GB2312" w:eastAsia="仿宋_GB2312" w:hint="eastAsia"/>
          <w:color w:val="000000" w:themeColor="text1"/>
          <w:sz w:val="32"/>
          <w:szCs w:val="32"/>
        </w:rPr>
        <w:t>了</w:t>
      </w:r>
      <w:r w:rsidR="009835A7" w:rsidRPr="0001004B">
        <w:rPr>
          <w:rFonts w:ascii="仿宋_GB2312" w:eastAsia="仿宋_GB2312" w:hint="eastAsia"/>
          <w:color w:val="000000" w:themeColor="text1"/>
          <w:sz w:val="32"/>
          <w:szCs w:val="32"/>
        </w:rPr>
        <w:t>人民群众对公安工作的知情</w:t>
      </w:r>
      <w:r w:rsidR="009835A7" w:rsidRPr="0001004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权、参与权和监督权。</w:t>
      </w:r>
    </w:p>
    <w:p w:rsidR="0001004B" w:rsidRDefault="0001004B" w:rsidP="0001004B">
      <w:pPr>
        <w:pStyle w:val="a7"/>
        <w:spacing w:line="540" w:lineRule="exact"/>
        <w:ind w:left="0" w:firstLineChars="200" w:firstLine="643"/>
        <w:jc w:val="both"/>
        <w:rPr>
          <w:rFonts w:ascii="楷体_GB2312" w:eastAsia="楷体_GB2312" w:hAnsi="楷体"/>
          <w:b/>
        </w:rPr>
      </w:pPr>
      <w:r>
        <w:rPr>
          <w:rFonts w:ascii="楷体_GB2312" w:eastAsia="楷体_GB2312" w:hAnsi="楷体" w:hint="eastAsia"/>
          <w:b/>
        </w:rPr>
        <w:t>（二）依申请公开</w:t>
      </w:r>
    </w:p>
    <w:p w:rsidR="009835A7" w:rsidRPr="00D36A80" w:rsidRDefault="009835A7" w:rsidP="0001004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坚持“以公开为常态，不公开为例外，遵循公正、公平、合法、便民”的原则，畅通线上线下受理渠道，依法依规办理群众提出的政府信息公开申请</w:t>
      </w:r>
      <w:r w:rsidR="0083539E" w:rsidRPr="00D36A8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454063" w:rsidRPr="00D36A80">
        <w:rPr>
          <w:rFonts w:ascii="仿宋_GB2312" w:eastAsia="仿宋_GB2312" w:hint="eastAsia"/>
          <w:color w:val="000000" w:themeColor="text1"/>
          <w:sz w:val="32"/>
          <w:szCs w:val="32"/>
        </w:rPr>
        <w:t>公安机关内部形成上下联动，多部门多警种协同的工作机制，确保及时</w:t>
      </w:r>
      <w:r w:rsidR="0083539E" w:rsidRPr="00D36A80">
        <w:rPr>
          <w:rFonts w:ascii="仿宋_GB2312" w:eastAsia="仿宋_GB2312" w:hint="eastAsia"/>
          <w:color w:val="000000" w:themeColor="text1"/>
          <w:sz w:val="32"/>
          <w:szCs w:val="32"/>
        </w:rPr>
        <w:t>准确</w:t>
      </w:r>
      <w:r w:rsidR="00454063" w:rsidRPr="00D36A80">
        <w:rPr>
          <w:rFonts w:ascii="仿宋_GB2312" w:eastAsia="仿宋_GB2312" w:hint="eastAsia"/>
          <w:color w:val="000000" w:themeColor="text1"/>
          <w:sz w:val="32"/>
          <w:szCs w:val="32"/>
        </w:rPr>
        <w:t>作出</w:t>
      </w:r>
      <w:r w:rsidR="0083539E" w:rsidRPr="00D36A80">
        <w:rPr>
          <w:rFonts w:ascii="仿宋_GB2312" w:eastAsia="仿宋_GB2312" w:hint="eastAsia"/>
          <w:color w:val="000000" w:themeColor="text1"/>
          <w:sz w:val="32"/>
          <w:szCs w:val="32"/>
        </w:rPr>
        <w:t>公开</w:t>
      </w:r>
      <w:r w:rsidR="00454063" w:rsidRPr="00D36A80">
        <w:rPr>
          <w:rFonts w:ascii="仿宋_GB2312" w:eastAsia="仿宋_GB2312" w:hint="eastAsia"/>
          <w:color w:val="000000" w:themeColor="text1"/>
          <w:sz w:val="32"/>
          <w:szCs w:val="32"/>
        </w:rPr>
        <w:t>答复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。全年共受理依申请公开</w:t>
      </w:r>
      <w:r w:rsidR="007A33DB" w:rsidRPr="00D36A80">
        <w:rPr>
          <w:rFonts w:ascii="仿宋_GB2312" w:eastAsia="仿宋_GB2312" w:hint="eastAsia"/>
          <w:color w:val="000000" w:themeColor="text1"/>
          <w:sz w:val="32"/>
          <w:szCs w:val="32"/>
        </w:rPr>
        <w:t>30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件，</w:t>
      </w:r>
      <w:r w:rsidR="00FE09EE" w:rsidRPr="00D36A80">
        <w:rPr>
          <w:rFonts w:ascii="仿宋_GB2312" w:eastAsia="仿宋_GB2312" w:hint="eastAsia"/>
          <w:color w:val="000000" w:themeColor="text1"/>
          <w:sz w:val="32"/>
          <w:szCs w:val="32"/>
        </w:rPr>
        <w:t>其中，部分公开1件，不予公开5件，无法提供1</w:t>
      </w:r>
      <w:r w:rsidR="00FE09EE" w:rsidRPr="00D36A80">
        <w:rPr>
          <w:rFonts w:ascii="仿宋_GB2312" w:eastAsia="仿宋_GB2312"/>
          <w:color w:val="000000" w:themeColor="text1"/>
          <w:sz w:val="32"/>
          <w:szCs w:val="32"/>
        </w:rPr>
        <w:t>1</w:t>
      </w:r>
      <w:r w:rsidR="00FE09EE" w:rsidRPr="00D36A80">
        <w:rPr>
          <w:rFonts w:ascii="仿宋_GB2312" w:eastAsia="仿宋_GB2312" w:hint="eastAsia"/>
          <w:color w:val="000000" w:themeColor="text1"/>
          <w:sz w:val="32"/>
          <w:szCs w:val="32"/>
        </w:rPr>
        <w:t>件，其他处理1</w:t>
      </w:r>
      <w:r w:rsidR="00FE09EE" w:rsidRPr="00D36A80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FE09EE" w:rsidRPr="00D36A80">
        <w:rPr>
          <w:rFonts w:ascii="仿宋_GB2312" w:eastAsia="仿宋_GB2312" w:hint="eastAsia"/>
          <w:color w:val="000000" w:themeColor="text1"/>
          <w:sz w:val="32"/>
          <w:szCs w:val="32"/>
        </w:rPr>
        <w:t>件，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内容涉及</w:t>
      </w:r>
      <w:r w:rsidR="007A33DB" w:rsidRPr="00D36A80">
        <w:rPr>
          <w:rFonts w:ascii="仿宋_GB2312" w:eastAsia="仿宋_GB2312" w:hint="eastAsia"/>
          <w:color w:val="000000" w:themeColor="text1"/>
          <w:sz w:val="32"/>
          <w:szCs w:val="32"/>
        </w:rPr>
        <w:t>咨询案件办理、接处警情况、公开处罚决定</w:t>
      </w:r>
      <w:r w:rsidR="00454063" w:rsidRPr="00D36A80">
        <w:rPr>
          <w:rFonts w:ascii="仿宋_GB2312" w:eastAsia="仿宋_GB2312" w:hint="eastAsia"/>
          <w:color w:val="000000" w:themeColor="text1"/>
          <w:sz w:val="32"/>
          <w:szCs w:val="32"/>
        </w:rPr>
        <w:t>等，全部在规定时间内按期办结，办结率为100%</w:t>
      </w:r>
      <w:r w:rsidR="00EE0436" w:rsidRPr="00D36A80">
        <w:rPr>
          <w:rFonts w:ascii="仿宋_GB2312" w:eastAsia="仿宋_GB2312" w:hint="eastAsia"/>
          <w:color w:val="000000" w:themeColor="text1"/>
          <w:sz w:val="32"/>
          <w:szCs w:val="32"/>
        </w:rPr>
        <w:t>，无超期</w:t>
      </w:r>
      <w:r w:rsidR="00454063" w:rsidRPr="00D36A80">
        <w:rPr>
          <w:rFonts w:ascii="仿宋_GB2312" w:eastAsia="仿宋_GB2312" w:hint="eastAsia"/>
          <w:color w:val="000000" w:themeColor="text1"/>
          <w:sz w:val="32"/>
          <w:szCs w:val="32"/>
        </w:rPr>
        <w:t>办结件，无结转下年度继续办理件。</w:t>
      </w:r>
      <w:r w:rsidR="00B062DC" w:rsidRPr="00D36A80">
        <w:rPr>
          <w:rFonts w:ascii="仿宋_GB2312" w:eastAsia="仿宋_GB2312" w:hint="eastAsia"/>
          <w:color w:val="000000" w:themeColor="text1"/>
          <w:sz w:val="32"/>
          <w:szCs w:val="32"/>
        </w:rPr>
        <w:t>落实政府新信息公开考核细则，全年分局未收针对政府信息公开答复的投诉或举报</w:t>
      </w:r>
      <w:r w:rsidR="00495CF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FE09EE" w:rsidRPr="00D36A80">
        <w:rPr>
          <w:rFonts w:ascii="仿宋_GB2312" w:eastAsia="仿宋_GB2312" w:hint="eastAsia"/>
          <w:color w:val="000000" w:themeColor="text1"/>
          <w:sz w:val="32"/>
          <w:szCs w:val="32"/>
        </w:rPr>
        <w:t>全年因政府信息公开被提起行政复议和行政诉讼</w:t>
      </w:r>
      <w:r w:rsidR="00495CFC">
        <w:rPr>
          <w:rFonts w:ascii="仿宋_GB2312" w:eastAsia="仿宋_GB2312" w:hint="eastAsia"/>
          <w:color w:val="000000" w:themeColor="text1"/>
          <w:sz w:val="32"/>
          <w:szCs w:val="32"/>
        </w:rPr>
        <w:t>案件共</w:t>
      </w:r>
      <w:r w:rsidR="00495CFC">
        <w:rPr>
          <w:rFonts w:ascii="仿宋_GB2312" w:eastAsia="仿宋_GB2312"/>
          <w:color w:val="000000" w:themeColor="text1"/>
          <w:sz w:val="32"/>
          <w:szCs w:val="32"/>
        </w:rPr>
        <w:t>4</w:t>
      </w:r>
      <w:r w:rsidR="00495CFC">
        <w:rPr>
          <w:rFonts w:ascii="仿宋_GB2312" w:eastAsia="仿宋_GB2312" w:hint="eastAsia"/>
          <w:color w:val="000000" w:themeColor="text1"/>
          <w:sz w:val="32"/>
          <w:szCs w:val="32"/>
        </w:rPr>
        <w:t>起，其中</w:t>
      </w:r>
      <w:r w:rsidR="00495CFC" w:rsidRPr="00D36A80">
        <w:rPr>
          <w:rFonts w:ascii="仿宋_GB2312" w:eastAsia="仿宋_GB2312" w:hint="eastAsia"/>
          <w:color w:val="000000" w:themeColor="text1"/>
          <w:sz w:val="32"/>
          <w:szCs w:val="32"/>
        </w:rPr>
        <w:t>行政复议</w:t>
      </w:r>
      <w:r w:rsidR="00495CFC">
        <w:rPr>
          <w:rFonts w:ascii="仿宋_GB2312" w:eastAsia="仿宋_GB2312" w:hint="eastAsia"/>
          <w:color w:val="000000" w:themeColor="text1"/>
          <w:sz w:val="32"/>
          <w:szCs w:val="32"/>
        </w:rPr>
        <w:t>2起</w:t>
      </w:r>
      <w:r w:rsidR="001A464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bookmarkStart w:id="0" w:name="_GoBack"/>
      <w:bookmarkEnd w:id="0"/>
      <w:r w:rsidR="00495CFC" w:rsidRPr="00D36A80">
        <w:rPr>
          <w:rFonts w:ascii="仿宋_GB2312" w:eastAsia="仿宋_GB2312" w:hint="eastAsia"/>
          <w:color w:val="000000" w:themeColor="text1"/>
          <w:sz w:val="32"/>
          <w:szCs w:val="32"/>
        </w:rPr>
        <w:t>行政诉讼</w:t>
      </w:r>
      <w:r w:rsidR="00495CFC">
        <w:rPr>
          <w:rFonts w:ascii="仿宋_GB2312" w:eastAsia="仿宋_GB2312" w:hint="eastAsia"/>
          <w:color w:val="000000" w:themeColor="text1"/>
          <w:sz w:val="32"/>
          <w:szCs w:val="32"/>
        </w:rPr>
        <w:t>2起</w:t>
      </w:r>
      <w:r w:rsidR="00B062DC" w:rsidRPr="00D36A8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01004B" w:rsidRDefault="0001004B" w:rsidP="0001004B">
      <w:pPr>
        <w:pStyle w:val="a7"/>
        <w:spacing w:line="540" w:lineRule="exact"/>
        <w:ind w:left="0" w:firstLineChars="200" w:firstLine="643"/>
        <w:jc w:val="both"/>
        <w:rPr>
          <w:rFonts w:cs="Times New Roman"/>
          <w:lang w:val="en-US"/>
        </w:rPr>
      </w:pPr>
      <w:r>
        <w:rPr>
          <w:rFonts w:ascii="楷体_GB2312" w:eastAsia="楷体_GB2312" w:hAnsi="楷体" w:hint="eastAsia"/>
          <w:b/>
        </w:rPr>
        <w:t>（三）政府信息管理</w:t>
      </w:r>
    </w:p>
    <w:p w:rsidR="00454063" w:rsidRPr="00D36A80" w:rsidRDefault="0026337B" w:rsidP="00454063">
      <w:pPr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落实专业警种专门人员负责政府信息公开工作，明确</w:t>
      </w:r>
      <w:r w:rsidR="0016443B" w:rsidRPr="00D36A80">
        <w:rPr>
          <w:rFonts w:ascii="仿宋_GB2312" w:eastAsia="仿宋_GB2312" w:hint="eastAsia"/>
          <w:color w:val="000000" w:themeColor="text1"/>
          <w:sz w:val="32"/>
          <w:szCs w:val="32"/>
        </w:rPr>
        <w:t>事权警种部门间的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交办流转答复规范。实行政府信息公开答复内容审批和保密审查“双审制度”，</w:t>
      </w:r>
      <w:r w:rsidR="0016443B" w:rsidRPr="00D36A80">
        <w:rPr>
          <w:rFonts w:ascii="仿宋_GB2312" w:eastAsia="仿宋_GB2312" w:hint="eastAsia"/>
          <w:color w:val="000000" w:themeColor="text1"/>
          <w:sz w:val="32"/>
          <w:szCs w:val="32"/>
        </w:rPr>
        <w:t>完善信息公开审核发布制度，确保信息发布严谨准确。</w:t>
      </w:r>
      <w:r w:rsidR="0083539E" w:rsidRPr="00D36A80">
        <w:rPr>
          <w:rFonts w:ascii="仿宋_GB2312" w:eastAsia="仿宋_GB2312" w:hint="eastAsia"/>
          <w:color w:val="000000" w:themeColor="text1"/>
          <w:sz w:val="32"/>
          <w:szCs w:val="32"/>
        </w:rPr>
        <w:t>定期巡查、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及时更新重要公告、</w:t>
      </w:r>
      <w:r w:rsidR="00FC758F" w:rsidRPr="00D36A80">
        <w:rPr>
          <w:rFonts w:ascii="仿宋_GB2312" w:eastAsia="仿宋_GB2312" w:hint="eastAsia"/>
          <w:color w:val="000000" w:themeColor="text1"/>
          <w:sz w:val="32"/>
          <w:szCs w:val="32"/>
        </w:rPr>
        <w:t>政策文件、规划计划、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财政预决算等各类</w:t>
      </w:r>
      <w:r w:rsidR="0016443B" w:rsidRPr="00D36A80">
        <w:rPr>
          <w:rFonts w:ascii="仿宋_GB2312" w:eastAsia="仿宋_GB2312" w:hint="eastAsia"/>
          <w:color w:val="000000" w:themeColor="text1"/>
          <w:sz w:val="32"/>
          <w:szCs w:val="32"/>
        </w:rPr>
        <w:t>栏目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信息</w:t>
      </w:r>
      <w:r w:rsidR="0016443B" w:rsidRPr="00D36A80">
        <w:rPr>
          <w:rFonts w:ascii="仿宋_GB2312" w:eastAsia="仿宋_GB2312" w:hint="eastAsia"/>
          <w:color w:val="000000" w:themeColor="text1"/>
          <w:sz w:val="32"/>
          <w:szCs w:val="32"/>
        </w:rPr>
        <w:t>，及时宣布失效、废止、保留、公布等行政规范性文件和政策解读</w:t>
      </w:r>
      <w:r w:rsidR="000021E6" w:rsidRPr="00D36A80">
        <w:rPr>
          <w:rFonts w:ascii="仿宋_GB2312" w:eastAsia="仿宋_GB2312" w:hint="eastAsia"/>
          <w:color w:val="000000" w:themeColor="text1"/>
          <w:sz w:val="32"/>
          <w:szCs w:val="32"/>
        </w:rPr>
        <w:t>，确保公开信息鲜活有效。</w:t>
      </w:r>
    </w:p>
    <w:p w:rsidR="0001004B" w:rsidRDefault="0001004B" w:rsidP="0001004B">
      <w:pPr>
        <w:pStyle w:val="a7"/>
        <w:spacing w:line="540" w:lineRule="exact"/>
        <w:ind w:left="0" w:firstLineChars="200" w:firstLine="643"/>
        <w:jc w:val="both"/>
        <w:rPr>
          <w:rFonts w:ascii="楷体_GB2312" w:eastAsia="楷体_GB2312" w:hAnsi="楷体"/>
          <w:b/>
        </w:rPr>
      </w:pPr>
      <w:r>
        <w:rPr>
          <w:rFonts w:ascii="楷体_GB2312" w:eastAsia="楷体_GB2312" w:hAnsi="楷体" w:hint="eastAsia"/>
          <w:b/>
        </w:rPr>
        <w:t>（四）政府信息公开平台建设</w:t>
      </w:r>
    </w:p>
    <w:p w:rsidR="000021E6" w:rsidRPr="00D36A80" w:rsidRDefault="000021E6" w:rsidP="0001004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及时更新区政府门户网站、浙江省政府服务网站信息，持续做好</w:t>
      </w:r>
      <w:r w:rsidR="00822539" w:rsidRPr="00D36A80">
        <w:rPr>
          <w:rFonts w:ascii="仿宋_GB2312" w:eastAsia="仿宋_GB2312" w:hint="eastAsia"/>
          <w:color w:val="000000" w:themeColor="text1"/>
          <w:sz w:val="32"/>
          <w:szCs w:val="32"/>
        </w:rPr>
        <w:t>拱墅公安自有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微博“平安拱墅”、微信公众号“平安拱墅”、抖音“拱墅公安”等政务新媒体的资讯发布，</w:t>
      </w:r>
      <w:r w:rsidR="00822539" w:rsidRPr="00D36A80">
        <w:rPr>
          <w:rFonts w:ascii="仿宋_GB2312" w:eastAsia="仿宋_GB2312" w:hint="eastAsia"/>
          <w:color w:val="000000" w:themeColor="text1"/>
          <w:sz w:val="32"/>
          <w:szCs w:val="32"/>
        </w:rPr>
        <w:t>同频共振上级公安机关政务新媒体，发挥矩阵“同声”效应。</w:t>
      </w:r>
    </w:p>
    <w:p w:rsidR="0001004B" w:rsidRDefault="0001004B" w:rsidP="0001004B">
      <w:pPr>
        <w:pStyle w:val="a7"/>
        <w:spacing w:line="540" w:lineRule="exact"/>
        <w:ind w:left="0" w:firstLineChars="200" w:firstLine="643"/>
        <w:jc w:val="both"/>
        <w:rPr>
          <w:rFonts w:ascii="楷体_GB2312" w:eastAsia="楷体_GB2312" w:hAnsi="楷体"/>
          <w:b/>
        </w:rPr>
      </w:pPr>
      <w:r>
        <w:rPr>
          <w:rFonts w:ascii="楷体_GB2312" w:eastAsia="楷体_GB2312" w:hAnsi="楷体" w:hint="eastAsia"/>
          <w:b/>
        </w:rPr>
        <w:t>（五）监督保障</w:t>
      </w:r>
    </w:p>
    <w:p w:rsidR="00822539" w:rsidRPr="00D36A80" w:rsidRDefault="00D40B10" w:rsidP="0001004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强化组织监督保障，将政府信息公开工作纳入机关绩效考核体系，</w:t>
      </w:r>
      <w:r w:rsidR="00822539" w:rsidRPr="00D36A80">
        <w:rPr>
          <w:rFonts w:ascii="仿宋_GB2312" w:eastAsia="仿宋_GB2312" w:hint="eastAsia"/>
          <w:color w:val="000000" w:themeColor="text1"/>
          <w:sz w:val="32"/>
          <w:szCs w:val="32"/>
        </w:rPr>
        <w:t>严格做到规范程序、主动公开、保证时效，并通过强化监督，</w:t>
      </w:r>
      <w:r w:rsidR="002B30E7" w:rsidRPr="00D36A80">
        <w:rPr>
          <w:rFonts w:ascii="仿宋_GB2312" w:eastAsia="仿宋_GB2312" w:hint="eastAsia"/>
          <w:color w:val="000000" w:themeColor="text1"/>
          <w:sz w:val="32"/>
          <w:szCs w:val="32"/>
        </w:rPr>
        <w:t>及时回应、主动解读等</w:t>
      </w:r>
      <w:r w:rsidR="00822539" w:rsidRPr="00D36A80">
        <w:rPr>
          <w:rFonts w:ascii="仿宋_GB2312" w:eastAsia="仿宋_GB2312" w:hint="eastAsia"/>
          <w:color w:val="000000" w:themeColor="text1"/>
          <w:sz w:val="32"/>
          <w:szCs w:val="32"/>
        </w:rPr>
        <w:t>多渠道推动政府信息公开工作透明高效。</w:t>
      </w:r>
      <w:r w:rsidR="00982E79" w:rsidRPr="00D36A80">
        <w:rPr>
          <w:rFonts w:ascii="仿宋_GB2312" w:eastAsia="仿宋_GB2312" w:hint="eastAsia"/>
          <w:color w:val="000000" w:themeColor="text1"/>
          <w:sz w:val="32"/>
          <w:szCs w:val="32"/>
        </w:rPr>
        <w:t>对外公开咨询投诉电话，主动接受社会评议和群众监督，及时回应涉公安</w:t>
      </w:r>
      <w:r w:rsidR="00C51275" w:rsidRPr="00D36A80">
        <w:rPr>
          <w:rFonts w:ascii="仿宋_GB2312" w:eastAsia="仿宋_GB2312" w:hint="eastAsia"/>
          <w:color w:val="000000" w:themeColor="text1"/>
          <w:sz w:val="32"/>
          <w:szCs w:val="32"/>
        </w:rPr>
        <w:t>群众</w:t>
      </w:r>
      <w:r w:rsidR="00982E79" w:rsidRPr="00D36A80">
        <w:rPr>
          <w:rFonts w:ascii="仿宋_GB2312" w:eastAsia="仿宋_GB2312" w:hint="eastAsia"/>
          <w:color w:val="000000" w:themeColor="text1"/>
          <w:sz w:val="32"/>
          <w:szCs w:val="32"/>
        </w:rPr>
        <w:t>关切和</w:t>
      </w:r>
      <w:r w:rsidR="00C51275" w:rsidRPr="00D36A80">
        <w:rPr>
          <w:rFonts w:ascii="仿宋_GB2312" w:eastAsia="仿宋_GB2312" w:hint="eastAsia"/>
          <w:color w:val="000000" w:themeColor="text1"/>
          <w:sz w:val="32"/>
          <w:szCs w:val="32"/>
        </w:rPr>
        <w:t>社会</w:t>
      </w:r>
      <w:r w:rsidR="00982E79" w:rsidRPr="00D36A80">
        <w:rPr>
          <w:rFonts w:ascii="仿宋_GB2312" w:eastAsia="仿宋_GB2312" w:hint="eastAsia"/>
          <w:color w:val="000000" w:themeColor="text1"/>
          <w:sz w:val="32"/>
          <w:szCs w:val="32"/>
        </w:rPr>
        <w:t>热点</w:t>
      </w:r>
      <w:r w:rsidR="00C51275" w:rsidRPr="00D36A80">
        <w:rPr>
          <w:rFonts w:ascii="仿宋_GB2312" w:eastAsia="仿宋_GB2312" w:hint="eastAsia"/>
          <w:color w:val="000000" w:themeColor="text1"/>
          <w:sz w:val="32"/>
          <w:szCs w:val="32"/>
        </w:rPr>
        <w:t>问题。</w:t>
      </w:r>
      <w:r w:rsidR="00FE09EE" w:rsidRPr="00D36A80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FE09EE" w:rsidRPr="00D36A80">
        <w:rPr>
          <w:rFonts w:ascii="仿宋_GB2312" w:eastAsia="仿宋_GB2312"/>
          <w:color w:val="000000" w:themeColor="text1"/>
          <w:sz w:val="32"/>
          <w:szCs w:val="32"/>
        </w:rPr>
        <w:t>3</w:t>
      </w:r>
      <w:r w:rsidR="00FE09EE" w:rsidRPr="00D36A80">
        <w:rPr>
          <w:rFonts w:ascii="仿宋_GB2312" w:eastAsia="仿宋_GB2312" w:hint="eastAsia"/>
          <w:color w:val="000000" w:themeColor="text1"/>
          <w:sz w:val="32"/>
          <w:szCs w:val="32"/>
        </w:rPr>
        <w:t>年，分局未发生政府信息公开工作责任追究结果情况。</w:t>
      </w:r>
    </w:p>
    <w:p w:rsidR="00591E08" w:rsidRPr="00D36A80" w:rsidRDefault="00591E08" w:rsidP="00613030">
      <w:pPr>
        <w:widowControl/>
        <w:spacing w:line="432" w:lineRule="auto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 w:rsidRPr="00D36A80">
        <w:rPr>
          <w:rFonts w:ascii="黑体" w:eastAsia="黑体" w:hAnsi="黑体" w:hint="eastAsia"/>
          <w:color w:val="000000" w:themeColor="text1"/>
          <w:sz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D36A80" w:rsidRPr="00D36A80" w:rsidTr="0054341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第二十条第（一）项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</w:t>
            </w:r>
            <w:r w:rsidRPr="00D36A80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制</w:t>
            </w: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发件</w:t>
            </w:r>
            <w:r w:rsidRPr="00D36A80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现行有效件</w:t>
            </w:r>
            <w:r w:rsidRPr="00D36A80"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  <w:t>数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第二十条第（五）项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EE0436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36A80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9693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第二十条第（六）项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EE0436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36A80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788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EE0436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36A80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第二十条第（八）项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D36A80" w:rsidRPr="00D36A80" w:rsidTr="0054341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E08" w:rsidRPr="00D36A80" w:rsidRDefault="0003760C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</w:rPr>
              <w:t>0</w:t>
            </w:r>
          </w:p>
        </w:tc>
      </w:tr>
    </w:tbl>
    <w:p w:rsidR="00591E08" w:rsidRPr="00D36A80" w:rsidRDefault="00613030" w:rsidP="00FC758F">
      <w:pPr>
        <w:widowControl/>
        <w:spacing w:line="432" w:lineRule="auto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 w:rsidRPr="00D36A80">
        <w:rPr>
          <w:rFonts w:ascii="黑体" w:eastAsia="黑体" w:hAnsi="黑体" w:hint="eastAsia"/>
          <w:color w:val="000000" w:themeColor="text1"/>
          <w:sz w:val="32"/>
        </w:rPr>
        <w:lastRenderedPageBreak/>
        <w:t>三、</w:t>
      </w:r>
      <w:r w:rsidR="00591E08" w:rsidRPr="00D36A80">
        <w:rPr>
          <w:rFonts w:ascii="黑体" w:eastAsia="黑体" w:hAnsi="黑体" w:hint="eastAsia"/>
          <w:color w:val="000000" w:themeColor="text1"/>
          <w:sz w:val="32"/>
        </w:rPr>
        <w:t>收到和处理政府信息公开申请情况</w:t>
      </w:r>
    </w:p>
    <w:tbl>
      <w:tblPr>
        <w:tblpPr w:leftFromText="180" w:rightFromText="180" w:vertAnchor="text" w:tblpXSpec="center" w:tblpY="1"/>
        <w:tblOverlap w:val="never"/>
        <w:tblW w:w="974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D36A80" w:rsidRPr="00D36A80" w:rsidTr="0054341B"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申请人情况</w:t>
            </w:r>
          </w:p>
        </w:tc>
      </w:tr>
      <w:tr w:rsidR="00D36A80" w:rsidRPr="00D36A80" w:rsidTr="0054341B"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 w:rsidR="00D36A80" w:rsidRPr="00D36A80" w:rsidTr="0054341B"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商业</w:t>
            </w:r>
          </w:p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科研</w:t>
            </w:r>
          </w:p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D36A80" w:rsidRPr="00D36A80" w:rsidTr="0054341B"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D36A80" w:rsidRPr="00D36A80" w:rsidTr="0054341B"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（二）部分公开</w:t>
            </w:r>
            <w:r w:rsidRPr="00D36A80">
              <w:rPr>
                <w:rFonts w:ascii="楷体" w:eastAsia="楷体" w:hAnsi="楷体" w:cs="宋体" w:hint="eastAsia"/>
                <w:color w:val="000000" w:themeColor="text1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rPr>
          <w:trHeight w:val="779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FE09EE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FE09EE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13</w:t>
            </w:r>
          </w:p>
        </w:tc>
      </w:tr>
      <w:tr w:rsidR="00D36A80" w:rsidRPr="00D36A80" w:rsidTr="0054341B"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FE09EE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FE09EE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D36A80" w:rsidRPr="00D36A80" w:rsidTr="0054341B"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FE09EE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1E08" w:rsidRPr="00D36A80" w:rsidRDefault="00FE09EE" w:rsidP="00FC758F">
            <w:pPr>
              <w:widowControl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D36A80"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0</w:t>
            </w:r>
          </w:p>
        </w:tc>
      </w:tr>
    </w:tbl>
    <w:p w:rsidR="00591E08" w:rsidRPr="00D36A80" w:rsidRDefault="00591E08" w:rsidP="00FC758F">
      <w:pPr>
        <w:widowControl/>
        <w:spacing w:line="432" w:lineRule="auto"/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 w:rsidRPr="00D36A80">
        <w:rPr>
          <w:rFonts w:ascii="黑体" w:eastAsia="黑体" w:hAnsi="黑体" w:hint="eastAsia"/>
          <w:color w:val="000000" w:themeColor="text1"/>
          <w:sz w:val="32"/>
        </w:rPr>
        <w:t>四、政府信息公开行政复议、行政诉讼情况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D36A80" w:rsidRPr="00D36A80" w:rsidTr="00FC758F">
        <w:trPr>
          <w:trHeight w:val="310"/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行政诉讼</w:t>
            </w:r>
          </w:p>
        </w:tc>
      </w:tr>
      <w:tr w:rsidR="00D36A80" w:rsidRPr="00D36A80" w:rsidTr="00FC758F">
        <w:trPr>
          <w:trHeight w:val="414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结果</w:t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结果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其他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尚未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lastRenderedPageBreak/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复议后起诉</w:t>
            </w:r>
          </w:p>
        </w:tc>
      </w:tr>
      <w:tr w:rsidR="00D36A80" w:rsidRPr="00D36A80" w:rsidTr="00FC758F">
        <w:trPr>
          <w:trHeight w:val="703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结果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结果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其他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尚未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结果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结果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其他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尚未</w:t>
            </w:r>
            <w:r w:rsidRPr="00D36A80">
              <w:rPr>
                <w:rFonts w:hint="eastAsia"/>
                <w:color w:val="000000" w:themeColor="text1"/>
                <w:kern w:val="0"/>
                <w:sz w:val="20"/>
              </w:rPr>
              <w:br/>
            </w: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总计</w:t>
            </w:r>
          </w:p>
        </w:tc>
      </w:tr>
      <w:tr w:rsidR="00D36A80" w:rsidRPr="00D36A80" w:rsidTr="00FC758F">
        <w:trPr>
          <w:trHeight w:val="52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lastRenderedPageBreak/>
              <w:t> 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  <w:r w:rsidRPr="00D36A8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  <w:r w:rsidRPr="00D36A8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  <w:r w:rsidRPr="00D36A8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  <w:r w:rsidRPr="00D36A8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color w:val="000000" w:themeColor="text1"/>
                <w:sz w:val="20"/>
              </w:rPr>
              <w:t>0</w:t>
            </w: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  <w:r w:rsidRPr="00D36A8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  <w:r w:rsidRPr="00D36A8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</w:t>
            </w:r>
            <w:r w:rsidRPr="00D36A8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36A80">
              <w:rPr>
                <w:rFonts w:hint="eastAsia"/>
                <w:color w:val="000000" w:themeColor="text1"/>
                <w:sz w:val="20"/>
              </w:rPr>
              <w:t> 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8" w:rsidRPr="00D36A80" w:rsidRDefault="00591E08" w:rsidP="00FC758F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D36A80">
              <w:rPr>
                <w:rFonts w:hint="eastAsia"/>
                <w:color w:val="000000" w:themeColor="text1"/>
                <w:kern w:val="0"/>
              </w:rPr>
              <w:t>0</w:t>
            </w:r>
          </w:p>
        </w:tc>
      </w:tr>
    </w:tbl>
    <w:p w:rsidR="00613030" w:rsidRPr="00D36A80" w:rsidRDefault="00F80130" w:rsidP="00FC758F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36A80">
        <w:rPr>
          <w:rFonts w:ascii="黑体" w:eastAsia="黑体" w:hAnsi="黑体" w:hint="eastAsia"/>
          <w:color w:val="000000" w:themeColor="text1"/>
          <w:sz w:val="32"/>
          <w:szCs w:val="32"/>
        </w:rPr>
        <w:t>五、存在的主要问题及改进情况</w:t>
      </w:r>
    </w:p>
    <w:p w:rsidR="001948FE" w:rsidRPr="00D36A80" w:rsidRDefault="001948FE" w:rsidP="00FC758F">
      <w:pPr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2023以来，区公安分局政府信息公开工作稳步推进，取得了一定成效，</w:t>
      </w:r>
      <w:r w:rsidR="004338C3" w:rsidRPr="00D36A80">
        <w:rPr>
          <w:rFonts w:ascii="仿宋_GB2312" w:eastAsia="仿宋_GB2312" w:hint="eastAsia"/>
          <w:color w:val="000000" w:themeColor="text1"/>
          <w:sz w:val="32"/>
          <w:szCs w:val="32"/>
        </w:rPr>
        <w:t>但仍存在一些不足：一是个别部门主动公开的意识需</w:t>
      </w: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进一步加强；</w:t>
      </w:r>
      <w:r w:rsidR="004338C3" w:rsidRPr="00D36A80">
        <w:rPr>
          <w:rFonts w:ascii="仿宋_GB2312" w:eastAsia="仿宋_GB2312" w:hint="eastAsia"/>
          <w:color w:val="000000" w:themeColor="text1"/>
          <w:sz w:val="32"/>
          <w:szCs w:val="32"/>
        </w:rPr>
        <w:t>二是公开的载体和形式还需进一步丰富。</w:t>
      </w:r>
    </w:p>
    <w:p w:rsidR="004338C3" w:rsidRPr="00D36A80" w:rsidRDefault="004338C3" w:rsidP="00613030">
      <w:pPr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下一步，区公安分局将紧密结合公安工作实际，采取针对性改进措施，全力推动各项工作落实落细。</w:t>
      </w:r>
      <w:r w:rsidR="005A08C9" w:rsidRPr="00D36A80">
        <w:rPr>
          <w:rFonts w:ascii="仿宋_GB2312" w:eastAsia="仿宋_GB2312" w:hint="eastAsia"/>
          <w:color w:val="000000" w:themeColor="text1"/>
          <w:sz w:val="32"/>
          <w:szCs w:val="32"/>
        </w:rPr>
        <w:t>一是坚决执行《中华人民共和国政府信息公开条例》规定，将落实政府信息公开工作作为分局重要工作内容，进一步压实工作责任，切实保障公众知情权、参与权、表达权和监督权；二是进一步优化政府信息公开工作运行机制，严格执行内容审批和保密审查“双审制度”，确保公开信息的真实性、完整性和准确性。</w:t>
      </w:r>
    </w:p>
    <w:p w:rsidR="005A08C9" w:rsidRPr="00D36A80" w:rsidRDefault="005A08C9" w:rsidP="00613030">
      <w:pPr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D36A80">
        <w:rPr>
          <w:rFonts w:ascii="黑体" w:eastAsia="黑体" w:hAnsi="黑体" w:hint="eastAsia"/>
          <w:color w:val="000000" w:themeColor="text1"/>
          <w:sz w:val="32"/>
          <w:szCs w:val="32"/>
        </w:rPr>
        <w:t>六、其他需要报告的事项</w:t>
      </w:r>
    </w:p>
    <w:p w:rsidR="005A08C9" w:rsidRPr="00D36A80" w:rsidRDefault="005A08C9" w:rsidP="00613030">
      <w:pPr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D36A80">
        <w:rPr>
          <w:rFonts w:ascii="仿宋_GB2312" w:eastAsia="仿宋_GB2312" w:hint="eastAsia"/>
          <w:color w:val="000000" w:themeColor="text1"/>
          <w:sz w:val="32"/>
          <w:szCs w:val="32"/>
        </w:rPr>
        <w:t>本年度未收取信息公开相关费用，无其他需要报告的事项。</w:t>
      </w:r>
    </w:p>
    <w:p w:rsidR="00613030" w:rsidRPr="00D36A80" w:rsidRDefault="00613030" w:rsidP="00613030">
      <w:pPr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613030" w:rsidRPr="00D36A80" w:rsidRDefault="00613030" w:rsidP="00613030">
      <w:pPr>
        <w:ind w:right="320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sectPr w:rsidR="00613030" w:rsidRPr="00D36A80" w:rsidSect="00FC758F">
      <w:pgSz w:w="11906" w:h="16838"/>
      <w:pgMar w:top="2098" w:right="1247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07" w:rsidRDefault="00697507" w:rsidP="002E07D8">
      <w:r>
        <w:separator/>
      </w:r>
    </w:p>
  </w:endnote>
  <w:endnote w:type="continuationSeparator" w:id="1">
    <w:p w:rsidR="00697507" w:rsidRDefault="00697507" w:rsidP="002E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07" w:rsidRDefault="00697507" w:rsidP="002E07D8">
      <w:r>
        <w:separator/>
      </w:r>
    </w:p>
  </w:footnote>
  <w:footnote w:type="continuationSeparator" w:id="1">
    <w:p w:rsidR="00697507" w:rsidRDefault="00697507" w:rsidP="002E0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A9C"/>
    <w:multiLevelType w:val="hybridMultilevel"/>
    <w:tmpl w:val="8ACE823A"/>
    <w:lvl w:ilvl="0" w:tplc="B7AA740C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">
    <w:nsid w:val="0D151D28"/>
    <w:multiLevelType w:val="hybridMultilevel"/>
    <w:tmpl w:val="17EE84FC"/>
    <w:lvl w:ilvl="0" w:tplc="CC6604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470050B"/>
    <w:multiLevelType w:val="hybridMultilevel"/>
    <w:tmpl w:val="9898A0B2"/>
    <w:lvl w:ilvl="0" w:tplc="9E7EDEFA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>
    <w:nsid w:val="24DB3531"/>
    <w:multiLevelType w:val="singleLevel"/>
    <w:tmpl w:val="24DB35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5096828"/>
    <w:multiLevelType w:val="hybridMultilevel"/>
    <w:tmpl w:val="6DDC32EE"/>
    <w:lvl w:ilvl="0" w:tplc="FA066AC4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5">
    <w:nsid w:val="6FBD0875"/>
    <w:multiLevelType w:val="hybridMultilevel"/>
    <w:tmpl w:val="7892E5A6"/>
    <w:lvl w:ilvl="0" w:tplc="5A7CCB14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708"/>
    <w:rsid w:val="000021E6"/>
    <w:rsid w:val="0001004B"/>
    <w:rsid w:val="0003760C"/>
    <w:rsid w:val="00080708"/>
    <w:rsid w:val="0013447B"/>
    <w:rsid w:val="0016443B"/>
    <w:rsid w:val="001948FE"/>
    <w:rsid w:val="001A4647"/>
    <w:rsid w:val="0026337B"/>
    <w:rsid w:val="002B26D9"/>
    <w:rsid w:val="002B30E7"/>
    <w:rsid w:val="002E07D8"/>
    <w:rsid w:val="004338C3"/>
    <w:rsid w:val="00433E5A"/>
    <w:rsid w:val="00454063"/>
    <w:rsid w:val="00495CFC"/>
    <w:rsid w:val="00591E08"/>
    <w:rsid w:val="00596F64"/>
    <w:rsid w:val="005A08C9"/>
    <w:rsid w:val="00600D14"/>
    <w:rsid w:val="00613030"/>
    <w:rsid w:val="00697507"/>
    <w:rsid w:val="007119E1"/>
    <w:rsid w:val="007A33DB"/>
    <w:rsid w:val="0080021C"/>
    <w:rsid w:val="00822539"/>
    <w:rsid w:val="0083539E"/>
    <w:rsid w:val="00980F96"/>
    <w:rsid w:val="00982E79"/>
    <w:rsid w:val="009835A7"/>
    <w:rsid w:val="009F7548"/>
    <w:rsid w:val="00B062DC"/>
    <w:rsid w:val="00C51275"/>
    <w:rsid w:val="00CE5E6B"/>
    <w:rsid w:val="00D36A80"/>
    <w:rsid w:val="00D40B10"/>
    <w:rsid w:val="00D469BC"/>
    <w:rsid w:val="00DC35D2"/>
    <w:rsid w:val="00DE5E79"/>
    <w:rsid w:val="00EE0436"/>
    <w:rsid w:val="00EF556C"/>
    <w:rsid w:val="00F80130"/>
    <w:rsid w:val="00FC758F"/>
    <w:rsid w:val="00FE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D8"/>
    <w:rPr>
      <w:sz w:val="18"/>
      <w:szCs w:val="18"/>
    </w:rPr>
  </w:style>
  <w:style w:type="paragraph" w:styleId="a5">
    <w:name w:val="List Paragraph"/>
    <w:basedOn w:val="a"/>
    <w:uiPriority w:val="34"/>
    <w:qFormat/>
    <w:rsid w:val="002E07D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0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0436"/>
    <w:rPr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01004B"/>
    <w:pPr>
      <w:autoSpaceDE w:val="0"/>
      <w:autoSpaceDN w:val="0"/>
      <w:ind w:left="287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2">
    <w:name w:val="正文文本 Char"/>
    <w:basedOn w:val="a0"/>
    <w:link w:val="a7"/>
    <w:uiPriority w:val="1"/>
    <w:qFormat/>
    <w:rsid w:val="0001004B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4A6F-4582-4E01-B9C0-B9239294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5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项逸伟</cp:lastModifiedBy>
  <cp:revision>21</cp:revision>
  <cp:lastPrinted>2024-01-08T06:52:00Z</cp:lastPrinted>
  <dcterms:created xsi:type="dcterms:W3CDTF">2024-01-04T07:02:00Z</dcterms:created>
  <dcterms:modified xsi:type="dcterms:W3CDTF">2024-02-20T01:37:00Z</dcterms:modified>
</cp:coreProperties>
</file>