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杭州市拱墅区财政局</w:t>
      </w:r>
    </w:p>
    <w:p>
      <w:pPr>
        <w:widowControl/>
        <w:spacing w:line="432" w:lineRule="auto"/>
        <w:jc w:val="center"/>
        <w:rPr>
          <w:rFonts w:ascii="宋体" w:hAnsi="宋体" w:cs="宋体"/>
          <w:kern w:val="0"/>
          <w:sz w:val="24"/>
          <w:szCs w:val="24"/>
        </w:rPr>
      </w:pPr>
      <w:r>
        <w:rPr>
          <w:rFonts w:hint="eastAsia" w:ascii="方正小标宋简体" w:hAnsi="Times New Roman" w:eastAsia="方正小标宋简体" w:cs="Times New Roman"/>
          <w:bCs/>
          <w:kern w:val="0"/>
          <w:sz w:val="44"/>
          <w:szCs w:val="44"/>
        </w:rPr>
        <w:t>202</w:t>
      </w:r>
      <w:r>
        <w:rPr>
          <w:rFonts w:hint="eastAsia" w:ascii="方正小标宋简体" w:hAnsi="Times New Roman" w:eastAsia="方正小标宋简体" w:cs="Times New Roman"/>
          <w:bCs/>
          <w:kern w:val="0"/>
          <w:sz w:val="44"/>
          <w:szCs w:val="44"/>
          <w:lang w:val="en-US" w:eastAsia="zh-CN"/>
        </w:rPr>
        <w:t>3</w:t>
      </w:r>
      <w:r>
        <w:rPr>
          <w:rFonts w:hint="eastAsia" w:ascii="方正小标宋简体" w:hAnsi="黑体" w:eastAsia="方正小标宋简体" w:cs="宋体"/>
          <w:bCs/>
          <w:kern w:val="0"/>
          <w:sz w:val="44"/>
          <w:szCs w:val="44"/>
        </w:rPr>
        <w:t>年政府信息公开工作年度报告</w:t>
      </w:r>
    </w:p>
    <w:p>
      <w:pPr>
        <w:shd w:val="clear" w:color="auto" w:fill="FFFFFF"/>
        <w:spacing w:line="600" w:lineRule="exact"/>
        <w:ind w:firstLine="640" w:firstLineChars="200"/>
        <w:rPr>
          <w:rFonts w:hint="eastAsia" w:ascii="黑体" w:hAnsi="黑体" w:eastAsia="黑体" w:cs="宋体"/>
          <w:bCs/>
          <w:kern w:val="0"/>
          <w:sz w:val="32"/>
          <w:szCs w:val="32"/>
        </w:rPr>
      </w:pPr>
    </w:p>
    <w:p>
      <w:pPr>
        <w:shd w:val="clear" w:color="auto" w:fill="FFFFFF"/>
        <w:spacing w:line="60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一、总体情况</w:t>
      </w:r>
    </w:p>
    <w:p>
      <w:pPr>
        <w:shd w:val="clear" w:color="auto" w:fill="FFFFFF"/>
        <w:spacing w:line="600" w:lineRule="exact"/>
        <w:ind w:firstLine="640" w:firstLineChars="200"/>
        <w:rPr>
          <w:rFonts w:hint="eastAsia" w:ascii="仿宋_GB2312" w:hAnsi="黑体" w:eastAsia="仿宋_GB2312" w:cs="宋体"/>
          <w:kern w:val="0"/>
          <w:sz w:val="32"/>
          <w:szCs w:val="32"/>
          <w:lang w:eastAsia="zh-CN"/>
        </w:rPr>
      </w:pPr>
      <w:r>
        <w:rPr>
          <w:rFonts w:hint="eastAsia" w:ascii="仿宋_GB2312" w:hAnsi="黑体" w:eastAsia="仿宋_GB2312" w:cs="宋体"/>
          <w:kern w:val="0"/>
          <w:sz w:val="32"/>
          <w:szCs w:val="32"/>
          <w:lang w:eastAsia="zh-CN"/>
        </w:rPr>
        <w:t>202</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lang w:eastAsia="zh-CN"/>
        </w:rPr>
        <w:t>年，区财政局深入贯彻落实《中华人民共和国政府信息公开条例》和《杭州市政府信息公开规定》等文件精神，紧扣202</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lang w:eastAsia="zh-CN"/>
        </w:rPr>
        <w:t>年拱墅区政务公开工作要点，结合财政工作实际，积极推进政府信息公开工作，确保政府信息公开工作的全面、及时、规范与安全。现将总体情况报告如下：</w:t>
      </w:r>
    </w:p>
    <w:p>
      <w:pPr>
        <w:shd w:val="clear" w:color="auto" w:fill="FFFFFF"/>
        <w:spacing w:line="600" w:lineRule="exact"/>
        <w:ind w:firstLine="643" w:firstLineChars="200"/>
        <w:rPr>
          <w:rFonts w:ascii="仿宋_GB2312" w:hAnsi="黑体" w:eastAsia="仿宋_GB2312" w:cs="宋体"/>
          <w:color w:val="FF0000"/>
          <w:kern w:val="0"/>
          <w:sz w:val="32"/>
          <w:szCs w:val="32"/>
        </w:rPr>
      </w:pPr>
      <w:r>
        <w:rPr>
          <w:rFonts w:hint="eastAsia" w:ascii="楷体_GB2312" w:hAnsi="黑体" w:eastAsia="楷体_GB2312" w:cs="宋体"/>
          <w:b/>
          <w:kern w:val="0"/>
          <w:sz w:val="32"/>
          <w:szCs w:val="32"/>
        </w:rPr>
        <w:t>（一）主动公开。</w:t>
      </w:r>
      <w:r>
        <w:rPr>
          <w:rFonts w:hint="eastAsia" w:ascii="仿宋_GB2312" w:hAnsi="黑体" w:eastAsia="仿宋_GB2312" w:cs="宋体"/>
          <w:kern w:val="0"/>
          <w:sz w:val="32"/>
          <w:szCs w:val="32"/>
          <w:lang w:eastAsia="zh-CN"/>
        </w:rPr>
        <w:t>区财政局</w:t>
      </w:r>
      <w:r>
        <w:rPr>
          <w:rFonts w:hint="eastAsia" w:ascii="仿宋_GB2312" w:hAnsi="黑体" w:eastAsia="仿宋_GB2312" w:cs="宋体"/>
          <w:kern w:val="0"/>
          <w:sz w:val="32"/>
          <w:szCs w:val="32"/>
        </w:rPr>
        <w:t>坚持以“公开为常态，不公开为例外”的原则，积极做好主动公开工作。202</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年区财政局主动公开各类政府信息</w:t>
      </w:r>
      <w:r>
        <w:rPr>
          <w:rFonts w:hint="eastAsia" w:ascii="仿宋_GB2312" w:hAnsi="黑体" w:eastAsia="仿宋_GB2312" w:cs="宋体"/>
          <w:kern w:val="0"/>
          <w:sz w:val="32"/>
          <w:szCs w:val="32"/>
          <w:lang w:val="en-US" w:eastAsia="zh-CN"/>
        </w:rPr>
        <w:t>151</w:t>
      </w:r>
      <w:r>
        <w:rPr>
          <w:rFonts w:hint="eastAsia" w:ascii="仿宋_GB2312" w:hAnsi="黑体" w:eastAsia="仿宋_GB2312" w:cs="宋体"/>
          <w:kern w:val="0"/>
          <w:sz w:val="32"/>
          <w:szCs w:val="32"/>
        </w:rPr>
        <w:t>条，其中机构设置3条，政策文件</w:t>
      </w:r>
      <w:r>
        <w:rPr>
          <w:rFonts w:hint="eastAsia" w:ascii="仿宋_GB2312" w:hAnsi="黑体" w:eastAsia="仿宋_GB2312" w:cs="宋体"/>
          <w:kern w:val="0"/>
          <w:sz w:val="32"/>
          <w:szCs w:val="32"/>
          <w:lang w:val="en-US" w:eastAsia="zh-CN"/>
        </w:rPr>
        <w:t>4</w:t>
      </w:r>
      <w:r>
        <w:rPr>
          <w:rFonts w:hint="eastAsia" w:ascii="仿宋_GB2312" w:hAnsi="黑体" w:eastAsia="仿宋_GB2312" w:cs="宋体"/>
          <w:kern w:val="0"/>
          <w:sz w:val="32"/>
          <w:szCs w:val="32"/>
        </w:rPr>
        <w:t>条，规划计划</w:t>
      </w:r>
      <w:r>
        <w:rPr>
          <w:rFonts w:hint="eastAsia" w:ascii="仿宋_GB2312" w:hAnsi="黑体" w:eastAsia="仿宋_GB2312" w:cs="宋体"/>
          <w:kern w:val="0"/>
          <w:sz w:val="32"/>
          <w:szCs w:val="32"/>
          <w:lang w:val="en-US" w:eastAsia="zh-CN"/>
        </w:rPr>
        <w:t>8</w:t>
      </w:r>
      <w:r>
        <w:rPr>
          <w:rFonts w:hint="eastAsia" w:ascii="仿宋_GB2312" w:hAnsi="黑体" w:eastAsia="仿宋_GB2312" w:cs="宋体"/>
          <w:kern w:val="0"/>
          <w:sz w:val="32"/>
          <w:szCs w:val="32"/>
        </w:rPr>
        <w:t>条，资金信息</w:t>
      </w:r>
      <w:r>
        <w:rPr>
          <w:rFonts w:hint="eastAsia" w:ascii="仿宋_GB2312" w:hAnsi="黑体" w:eastAsia="仿宋_GB2312" w:cs="宋体"/>
          <w:kern w:val="0"/>
          <w:sz w:val="32"/>
          <w:szCs w:val="32"/>
          <w:lang w:val="en-US" w:eastAsia="zh-CN"/>
        </w:rPr>
        <w:t>55</w:t>
      </w:r>
      <w:r>
        <w:rPr>
          <w:rFonts w:hint="eastAsia" w:ascii="仿宋_GB2312" w:hAnsi="黑体" w:eastAsia="仿宋_GB2312" w:cs="宋体"/>
          <w:kern w:val="0"/>
          <w:sz w:val="32"/>
          <w:szCs w:val="32"/>
        </w:rPr>
        <w:t>条，人事信息</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条，</w:t>
      </w:r>
      <w:r>
        <w:rPr>
          <w:rFonts w:hint="eastAsia" w:ascii="仿宋_GB2312" w:hAnsi="黑体" w:eastAsia="仿宋_GB2312" w:cs="宋体"/>
          <w:kern w:val="0"/>
          <w:sz w:val="32"/>
          <w:szCs w:val="32"/>
          <w:lang w:eastAsia="zh-CN"/>
        </w:rPr>
        <w:t>应急管理</w:t>
      </w:r>
      <w:r>
        <w:rPr>
          <w:rFonts w:hint="eastAsia" w:ascii="仿宋_GB2312" w:hAnsi="黑体" w:eastAsia="仿宋_GB2312" w:cs="宋体"/>
          <w:kern w:val="0"/>
          <w:sz w:val="32"/>
          <w:szCs w:val="32"/>
          <w:lang w:val="en-US" w:eastAsia="zh-CN"/>
        </w:rPr>
        <w:t>1条，</w:t>
      </w:r>
      <w:r>
        <w:rPr>
          <w:rFonts w:hint="eastAsia" w:ascii="仿宋_GB2312" w:hAnsi="黑体" w:eastAsia="仿宋_GB2312" w:cs="宋体"/>
          <w:kern w:val="0"/>
          <w:sz w:val="32"/>
          <w:szCs w:val="32"/>
        </w:rPr>
        <w:t>行政执法公开</w:t>
      </w:r>
      <w:r>
        <w:rPr>
          <w:rFonts w:hint="eastAsia" w:ascii="仿宋_GB2312" w:hAnsi="黑体" w:eastAsia="仿宋_GB2312" w:cs="宋体"/>
          <w:kern w:val="0"/>
          <w:sz w:val="32"/>
          <w:szCs w:val="32"/>
          <w:lang w:val="en-US" w:eastAsia="zh-CN"/>
        </w:rPr>
        <w:t>7</w:t>
      </w:r>
      <w:r>
        <w:rPr>
          <w:rFonts w:hint="eastAsia" w:ascii="仿宋_GB2312" w:hAnsi="黑体" w:eastAsia="仿宋_GB2312" w:cs="宋体"/>
          <w:kern w:val="0"/>
          <w:sz w:val="32"/>
          <w:szCs w:val="32"/>
        </w:rPr>
        <w:t>条，重点领域信息公开</w:t>
      </w:r>
      <w:r>
        <w:rPr>
          <w:rFonts w:hint="eastAsia" w:ascii="仿宋_GB2312" w:hAnsi="黑体" w:eastAsia="仿宋_GB2312" w:cs="宋体"/>
          <w:kern w:val="0"/>
          <w:sz w:val="32"/>
          <w:szCs w:val="32"/>
          <w:lang w:val="en-US" w:eastAsia="zh-CN"/>
        </w:rPr>
        <w:t>7</w:t>
      </w:r>
      <w:r>
        <w:rPr>
          <w:rFonts w:hint="eastAsia" w:ascii="仿宋_GB2312" w:hAnsi="黑体" w:eastAsia="仿宋_GB2312" w:cs="宋体"/>
          <w:kern w:val="0"/>
          <w:sz w:val="32"/>
          <w:szCs w:val="32"/>
        </w:rPr>
        <w:t>条，信息公开工作年度报告1条，公告公示</w:t>
      </w:r>
      <w:r>
        <w:rPr>
          <w:rFonts w:hint="eastAsia" w:ascii="仿宋_GB2312" w:hAnsi="黑体" w:eastAsia="仿宋_GB2312" w:cs="宋体"/>
          <w:kern w:val="0"/>
          <w:sz w:val="32"/>
          <w:szCs w:val="32"/>
          <w:lang w:val="en-US" w:eastAsia="zh-CN"/>
        </w:rPr>
        <w:t>14</w:t>
      </w:r>
      <w:r>
        <w:rPr>
          <w:rFonts w:hint="eastAsia" w:ascii="仿宋_GB2312" w:hAnsi="黑体" w:eastAsia="仿宋_GB2312" w:cs="宋体"/>
          <w:kern w:val="0"/>
          <w:sz w:val="32"/>
          <w:szCs w:val="32"/>
        </w:rPr>
        <w:t>条，部门动态</w:t>
      </w:r>
      <w:r>
        <w:rPr>
          <w:rFonts w:hint="eastAsia" w:ascii="仿宋_GB2312" w:hAnsi="黑体" w:eastAsia="仿宋_GB2312" w:cs="宋体"/>
          <w:kern w:val="0"/>
          <w:sz w:val="32"/>
          <w:szCs w:val="32"/>
          <w:lang w:val="en-US" w:eastAsia="zh-CN"/>
        </w:rPr>
        <w:t>48</w:t>
      </w:r>
      <w:r>
        <w:rPr>
          <w:rFonts w:hint="eastAsia" w:ascii="仿宋_GB2312" w:hAnsi="黑体" w:eastAsia="仿宋_GB2312" w:cs="宋体"/>
          <w:kern w:val="0"/>
          <w:sz w:val="32"/>
          <w:szCs w:val="32"/>
        </w:rPr>
        <w:t>条。全部通过</w:t>
      </w:r>
      <w:r>
        <w:rPr>
          <w:rFonts w:hint="eastAsia" w:ascii="仿宋_GB2312" w:hAnsi="黑体" w:eastAsia="仿宋_GB2312" w:cs="宋体"/>
          <w:kern w:val="0"/>
          <w:sz w:val="32"/>
          <w:szCs w:val="32"/>
          <w:lang w:eastAsia="zh-CN"/>
        </w:rPr>
        <w:t>拱墅区政府</w:t>
      </w:r>
      <w:r>
        <w:rPr>
          <w:rFonts w:hint="eastAsia" w:ascii="仿宋_GB2312" w:hAnsi="黑体" w:eastAsia="仿宋_GB2312" w:cs="宋体"/>
          <w:kern w:val="0"/>
          <w:sz w:val="32"/>
          <w:szCs w:val="32"/>
        </w:rPr>
        <w:t>网站公开。及时公开202</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年区级财政预算、202</w:t>
      </w:r>
      <w:r>
        <w:rPr>
          <w:rFonts w:hint="eastAsia" w:ascii="仿宋_GB2312" w:hAnsi="黑体" w:eastAsia="仿宋_GB2312" w:cs="宋体"/>
          <w:kern w:val="0"/>
          <w:sz w:val="32"/>
          <w:szCs w:val="32"/>
          <w:lang w:val="en-US" w:eastAsia="zh-CN"/>
        </w:rPr>
        <w:t>2</w:t>
      </w:r>
      <w:r>
        <w:rPr>
          <w:rFonts w:hint="eastAsia" w:ascii="仿宋_GB2312" w:hAnsi="黑体" w:eastAsia="仿宋_GB2312" w:cs="宋体"/>
          <w:kern w:val="0"/>
          <w:sz w:val="32"/>
          <w:szCs w:val="32"/>
        </w:rPr>
        <w:t>年区级财政决算等政府预决算信息，财政经济指标完成情况等，动态更新本部门内设机构及主要职责、人事任免、年度工作执行情况，严格落实公文公开“三同步”要求。</w:t>
      </w:r>
    </w:p>
    <w:p>
      <w:pPr>
        <w:shd w:val="clear" w:color="auto" w:fill="FFFFFF"/>
        <w:spacing w:line="600" w:lineRule="exact"/>
        <w:ind w:firstLine="643" w:firstLineChars="200"/>
        <w:rPr>
          <w:rFonts w:hint="eastAsia" w:ascii="仿宋_GB2312" w:hAnsi="黑体" w:eastAsia="仿宋_GB2312" w:cs="宋体"/>
          <w:color w:val="FF0000"/>
          <w:kern w:val="0"/>
          <w:sz w:val="32"/>
          <w:szCs w:val="32"/>
          <w:highlight w:val="none"/>
          <w:lang w:val="en-US" w:eastAsia="zh-CN"/>
        </w:rPr>
      </w:pPr>
      <w:r>
        <w:rPr>
          <w:rFonts w:hint="eastAsia" w:ascii="楷体_GB2312" w:hAnsi="黑体" w:eastAsia="楷体_GB2312" w:cs="宋体"/>
          <w:b/>
          <w:kern w:val="0"/>
          <w:sz w:val="32"/>
          <w:szCs w:val="32"/>
        </w:rPr>
        <w:t>（二）依申请公开。</w:t>
      </w:r>
      <w:r>
        <w:rPr>
          <w:rFonts w:hint="eastAsia" w:ascii="仿宋_GB2312" w:hAnsi="黑体" w:eastAsia="仿宋_GB2312" w:cs="宋体"/>
          <w:kern w:val="0"/>
          <w:sz w:val="32"/>
          <w:szCs w:val="32"/>
        </w:rPr>
        <w:t>区财政局建立了依申请公开专人负责制度，形成业务科室和依申请公开负责人联动机制。202</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年，受理信息公开申请</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件，现已办结</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件。其中：2人次申请的内容不属于本部门公开职责权限范围，本部门依规定向申请人告知了相关职能部门及法律救济途径；1人次申请的信息本机关</w:t>
      </w:r>
      <w:r>
        <w:rPr>
          <w:rFonts w:hint="eastAsia" w:ascii="仿宋_GB2312" w:hAnsi="黑体" w:eastAsia="仿宋_GB2312" w:cs="宋体"/>
          <w:kern w:val="0"/>
          <w:sz w:val="32"/>
          <w:szCs w:val="32"/>
          <w:lang w:eastAsia="zh-CN"/>
        </w:rPr>
        <w:t>已按申请人要求的途径予以</w:t>
      </w:r>
      <w:r>
        <w:rPr>
          <w:rFonts w:hint="eastAsia" w:ascii="仿宋_GB2312" w:hAnsi="黑体" w:eastAsia="仿宋_GB2312" w:cs="宋体"/>
          <w:kern w:val="0"/>
          <w:sz w:val="32"/>
          <w:szCs w:val="32"/>
        </w:rPr>
        <w:t>提供</w:t>
      </w:r>
      <w:r>
        <w:rPr>
          <w:rFonts w:hint="eastAsia" w:ascii="仿宋_GB2312" w:hAnsi="黑体" w:eastAsia="仿宋_GB2312" w:cs="宋体"/>
          <w:kern w:val="0"/>
          <w:sz w:val="32"/>
          <w:szCs w:val="32"/>
          <w:lang w:eastAsia="zh-CN"/>
        </w:rPr>
        <w:t>。</w:t>
      </w:r>
      <w:r>
        <w:rPr>
          <w:rFonts w:hint="eastAsia" w:ascii="仿宋_GB2312" w:hAnsi="黑体" w:eastAsia="仿宋_GB2312" w:cs="宋体"/>
          <w:kern w:val="0"/>
          <w:sz w:val="32"/>
          <w:szCs w:val="32"/>
          <w:highlight w:val="none"/>
          <w:lang w:eastAsia="zh-CN"/>
        </w:rPr>
        <w:t>本年度我局未产生因政府信息公开被提起行政复议和行政诉讼的情况。</w:t>
      </w:r>
    </w:p>
    <w:p>
      <w:pPr>
        <w:shd w:val="clear" w:color="auto" w:fill="FFFFFF"/>
        <w:spacing w:line="600" w:lineRule="exact"/>
        <w:ind w:firstLine="643" w:firstLineChars="200"/>
        <w:rPr>
          <w:rFonts w:hint="eastAsia" w:ascii="仿宋_GB2312" w:hAnsi="黑体" w:eastAsia="仿宋_GB2312" w:cs="宋体"/>
          <w:kern w:val="0"/>
          <w:sz w:val="32"/>
          <w:szCs w:val="32"/>
          <w:lang w:eastAsia="zh-CN"/>
        </w:rPr>
      </w:pPr>
      <w:r>
        <w:rPr>
          <w:rFonts w:hint="eastAsia" w:ascii="楷体_GB2312" w:hAnsi="黑体" w:eastAsia="楷体_GB2312" w:cs="宋体"/>
          <w:b/>
          <w:kern w:val="0"/>
          <w:sz w:val="32"/>
          <w:szCs w:val="32"/>
        </w:rPr>
        <w:t>（三）政府信息管理。</w:t>
      </w:r>
      <w:r>
        <w:rPr>
          <w:rFonts w:hint="eastAsia" w:ascii="仿宋_GB2312" w:hAnsi="黑体" w:eastAsia="仿宋_GB2312" w:cs="宋体"/>
          <w:kern w:val="0"/>
          <w:sz w:val="32"/>
          <w:szCs w:val="32"/>
          <w:lang w:eastAsia="zh-CN"/>
        </w:rPr>
        <w:t>区财政局严格政府信息公开全过程管理，对于公文公开的源头属性认定、公开发布信息审查流程严格把关，落实公文、政府信息等公开属性审查，建立保密干部网站信息发布审查机制，对已公开的政府信息动态调整更新，健全信息管理动态调整机制。</w:t>
      </w:r>
    </w:p>
    <w:p>
      <w:pPr>
        <w:shd w:val="clear" w:color="auto" w:fill="FFFFFF"/>
        <w:spacing w:line="600" w:lineRule="exact"/>
        <w:ind w:firstLine="643" w:firstLineChars="200"/>
        <w:rPr>
          <w:rFonts w:ascii="仿宋_GB2312" w:hAnsi="黑体" w:eastAsia="仿宋_GB2312" w:cs="宋体"/>
          <w:color w:val="FF0000"/>
          <w:kern w:val="0"/>
          <w:sz w:val="32"/>
          <w:szCs w:val="32"/>
        </w:rPr>
      </w:pPr>
      <w:r>
        <w:rPr>
          <w:rFonts w:hint="eastAsia" w:ascii="楷体_GB2312" w:hAnsi="黑体" w:eastAsia="楷体_GB2312" w:cs="宋体"/>
          <w:b/>
          <w:kern w:val="0"/>
          <w:sz w:val="32"/>
          <w:szCs w:val="32"/>
        </w:rPr>
        <w:t>（四）</w:t>
      </w:r>
      <w:r>
        <w:rPr>
          <w:rFonts w:hint="eastAsia" w:ascii="楷体_GB2312" w:hAnsi="黑体" w:eastAsia="楷体_GB2312" w:cs="宋体"/>
          <w:b/>
          <w:kern w:val="0"/>
          <w:sz w:val="32"/>
          <w:szCs w:val="32"/>
          <w:lang w:eastAsia="zh-CN"/>
        </w:rPr>
        <w:t>政府信息公开</w:t>
      </w:r>
      <w:r>
        <w:rPr>
          <w:rFonts w:hint="eastAsia" w:ascii="楷体_GB2312" w:hAnsi="黑体" w:eastAsia="楷体_GB2312" w:cs="宋体"/>
          <w:b/>
          <w:kern w:val="0"/>
          <w:sz w:val="32"/>
          <w:szCs w:val="32"/>
        </w:rPr>
        <w:t>平台建设。</w:t>
      </w:r>
      <w:r>
        <w:rPr>
          <w:rFonts w:hint="eastAsia" w:ascii="仿宋_GB2312" w:hAnsi="黑体" w:eastAsia="仿宋_GB2312" w:cs="宋体"/>
          <w:kern w:val="0"/>
          <w:sz w:val="32"/>
          <w:szCs w:val="32"/>
        </w:rPr>
        <w:t>区财政局充分利用</w:t>
      </w:r>
      <w:r>
        <w:rPr>
          <w:rFonts w:hint="eastAsia" w:ascii="仿宋_GB2312" w:hAnsi="黑体" w:eastAsia="仿宋_GB2312" w:cs="宋体"/>
          <w:kern w:val="0"/>
          <w:sz w:val="32"/>
          <w:szCs w:val="32"/>
          <w:lang w:eastAsia="zh-CN"/>
        </w:rPr>
        <w:t>拱墅</w:t>
      </w:r>
      <w:r>
        <w:rPr>
          <w:rFonts w:hint="eastAsia" w:ascii="仿宋_GB2312" w:hAnsi="黑体" w:eastAsia="仿宋_GB2312" w:cs="宋体"/>
          <w:kern w:val="0"/>
          <w:sz w:val="32"/>
          <w:szCs w:val="32"/>
        </w:rPr>
        <w:t>区人民政府网站政务公开平台，设立了机构职能、政策法规、规划计划、</w:t>
      </w:r>
      <w:r>
        <w:rPr>
          <w:rFonts w:hint="eastAsia" w:ascii="仿宋_GB2312" w:hAnsi="黑体" w:eastAsia="仿宋_GB2312" w:cs="宋体"/>
          <w:kern w:val="0"/>
          <w:sz w:val="32"/>
          <w:szCs w:val="32"/>
          <w:lang w:eastAsia="zh-CN"/>
        </w:rPr>
        <w:t>资金信息</w:t>
      </w:r>
      <w:r>
        <w:rPr>
          <w:rFonts w:hint="eastAsia" w:ascii="仿宋_GB2312" w:hAnsi="黑体" w:eastAsia="仿宋_GB2312" w:cs="宋体"/>
          <w:kern w:val="0"/>
          <w:sz w:val="32"/>
          <w:szCs w:val="32"/>
        </w:rPr>
        <w:t>及其他信息等栏目，及时准确地发布各类财政预决算、</w:t>
      </w:r>
      <w:r>
        <w:rPr>
          <w:rFonts w:hint="eastAsia" w:ascii="仿宋_GB2312" w:hAnsi="黑体" w:eastAsia="仿宋_GB2312" w:cs="宋体"/>
          <w:kern w:val="0"/>
          <w:sz w:val="32"/>
          <w:szCs w:val="32"/>
          <w:lang w:eastAsia="zh-CN"/>
        </w:rPr>
        <w:t>两直资金、</w:t>
      </w:r>
      <w:r>
        <w:rPr>
          <w:rFonts w:hint="eastAsia" w:ascii="仿宋_GB2312" w:hAnsi="黑体" w:eastAsia="仿宋_GB2312" w:cs="宋体"/>
          <w:kern w:val="0"/>
          <w:sz w:val="32"/>
          <w:szCs w:val="32"/>
        </w:rPr>
        <w:t>会计监督检查等信息。</w:t>
      </w:r>
    </w:p>
    <w:p>
      <w:pPr>
        <w:shd w:val="clear" w:color="auto" w:fill="FFFFFF"/>
        <w:spacing w:line="600" w:lineRule="exact"/>
        <w:ind w:firstLine="643" w:firstLineChars="200"/>
        <w:rPr>
          <w:rFonts w:hint="eastAsia" w:ascii="仿宋_GB2312" w:hAnsi="黑体" w:eastAsia="仿宋_GB2312" w:cs="宋体"/>
          <w:kern w:val="0"/>
          <w:sz w:val="32"/>
          <w:szCs w:val="32"/>
        </w:rPr>
      </w:pPr>
      <w:r>
        <w:rPr>
          <w:rFonts w:hint="eastAsia" w:ascii="楷体_GB2312" w:hAnsi="黑体" w:eastAsia="楷体_GB2312" w:cs="宋体"/>
          <w:b/>
          <w:kern w:val="0"/>
          <w:sz w:val="32"/>
          <w:szCs w:val="32"/>
        </w:rPr>
        <w:t>（</w:t>
      </w:r>
      <w:r>
        <w:rPr>
          <w:rFonts w:hint="eastAsia" w:ascii="楷体_GB2312" w:hAnsi="黑体" w:eastAsia="楷体_GB2312" w:cs="宋体"/>
          <w:b/>
          <w:kern w:val="0"/>
          <w:sz w:val="32"/>
          <w:szCs w:val="32"/>
          <w:lang w:eastAsia="zh-CN"/>
        </w:rPr>
        <w:t>五</w:t>
      </w:r>
      <w:r>
        <w:rPr>
          <w:rFonts w:hint="eastAsia" w:ascii="楷体_GB2312" w:hAnsi="黑体" w:eastAsia="楷体_GB2312" w:cs="宋体"/>
          <w:b/>
          <w:kern w:val="0"/>
          <w:sz w:val="32"/>
          <w:szCs w:val="32"/>
        </w:rPr>
        <w:t>）监督保障。</w:t>
      </w:r>
      <w:bookmarkStart w:id="0" w:name="_GoBack"/>
      <w:bookmarkEnd w:id="0"/>
      <w:r>
        <w:rPr>
          <w:rFonts w:hint="eastAsia" w:ascii="仿宋_GB2312" w:hAnsi="黑体" w:eastAsia="仿宋_GB2312" w:cs="宋体"/>
          <w:kern w:val="0"/>
          <w:sz w:val="32"/>
          <w:szCs w:val="32"/>
          <w:lang w:val="en-US" w:eastAsia="zh-CN"/>
        </w:rPr>
        <w:t>区财政局进一步</w:t>
      </w:r>
      <w:r>
        <w:rPr>
          <w:rFonts w:hint="eastAsia" w:ascii="仿宋_GB2312" w:hAnsi="黑体" w:eastAsia="仿宋_GB2312" w:cs="宋体"/>
          <w:kern w:val="0"/>
          <w:sz w:val="32"/>
          <w:szCs w:val="32"/>
        </w:rPr>
        <w:t>加强组织领导，强化制度保障，严格落实信息发布审核机制，明确分管领导、责任科室、工作人员及职责分工，全面落实监督责任。积极参加区政府政务公开工作培训，提升相关工作人员知识储备和业务水平。建立政务公开社会评议制度，邀请“两代表一委员”等进机关对政务公开等</w:t>
      </w:r>
      <w:r>
        <w:rPr>
          <w:rFonts w:hint="eastAsia" w:ascii="仿宋_GB2312" w:hAnsi="黑体" w:eastAsia="仿宋_GB2312" w:cs="宋体"/>
          <w:kern w:val="0"/>
          <w:sz w:val="32"/>
          <w:szCs w:val="32"/>
          <w:lang w:eastAsia="zh-CN"/>
        </w:rPr>
        <w:t>财政</w:t>
      </w:r>
      <w:r>
        <w:rPr>
          <w:rFonts w:hint="eastAsia" w:ascii="仿宋_GB2312" w:hAnsi="黑体" w:eastAsia="仿宋_GB2312" w:cs="宋体"/>
          <w:kern w:val="0"/>
          <w:sz w:val="32"/>
          <w:szCs w:val="32"/>
        </w:rPr>
        <w:t>工作情况提出意见建议。202</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年，未发生政府信息公开工作责任追究结果情况。</w:t>
      </w:r>
    </w:p>
    <w:p>
      <w:pPr>
        <w:shd w:val="clear" w:color="auto" w:fill="FFFFFF"/>
        <w:spacing w:line="60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二、主动公开政府信息情况</w:t>
      </w:r>
    </w:p>
    <w:p>
      <w:pPr>
        <w:widowControl/>
        <w:spacing w:line="432" w:lineRule="auto"/>
        <w:ind w:firstLine="480"/>
        <w:rPr>
          <w:rFonts w:ascii="宋体" w:hAnsi="宋体" w:cs="宋体"/>
          <w:kern w:val="0"/>
          <w:sz w:val="24"/>
          <w:szCs w:val="24"/>
        </w:rPr>
      </w:pPr>
    </w:p>
    <w:tbl>
      <w:tblPr>
        <w:tblStyle w:val="7"/>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ind w:firstLine="400" w:firstLineChars="200"/>
              <w:jc w:val="center"/>
              <w:rPr>
                <w:rFonts w:hint="eastAsia" w:ascii="宋体" w:hAnsi="宋体" w:eastAsia="宋体" w:cs="宋体"/>
                <w:kern w:val="0"/>
                <w:sz w:val="24"/>
                <w:szCs w:val="24"/>
                <w:lang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ind w:firstLine="420" w:firstLineChars="200"/>
              <w:jc w:val="center"/>
              <w:rPr>
                <w:rFonts w:hint="eastAsia" w:ascii="宋体" w:hAnsi="宋体" w:eastAsia="宋体" w:cs="宋体"/>
                <w:kern w:val="0"/>
                <w:sz w:val="24"/>
                <w:szCs w:val="24"/>
                <w:lang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ind w:firstLine="400" w:firstLineChars="200"/>
              <w:jc w:val="center"/>
              <w:rPr>
                <w:rFonts w:hint="eastAsia" w:ascii="宋体" w:hAnsi="宋体" w:eastAsia="宋体" w:cs="宋体"/>
                <w:kern w:val="0"/>
                <w:sz w:val="24"/>
                <w:szCs w:val="24"/>
                <w:lang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ind w:firstLine="420" w:firstLineChars="200"/>
              <w:jc w:val="center"/>
              <w:rPr>
                <w:rFonts w:hint="eastAsia" w:ascii="宋体" w:hAnsi="宋体" w:eastAsia="宋体" w:cs="宋体"/>
                <w:kern w:val="0"/>
                <w:sz w:val="24"/>
                <w:szCs w:val="24"/>
                <w:lang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default" w:ascii="宋体" w:hAnsi="宋体" w:eastAsia="宋体" w:cs="宋体"/>
                <w:kern w:val="0"/>
                <w:sz w:val="24"/>
                <w:szCs w:val="24"/>
                <w:lang w:val="en-US" w:eastAsia="zh-CN"/>
              </w:rPr>
            </w:pPr>
            <w:r>
              <w:rPr>
                <w:rFonts w:hint="eastAsia"/>
                <w:highlight w:val="none"/>
                <w:lang w:val="en-US" w:eastAsia="zh-CN"/>
              </w:rPr>
              <w:t>82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hint="default" w:ascii="宋体" w:hAnsi="宋体" w:eastAsia="宋体" w:cs="宋体"/>
                <w:kern w:val="0"/>
                <w:lang w:val="en-US" w:eastAsia="zh-CN"/>
              </w:rPr>
            </w:pPr>
            <w:r>
              <w:rPr>
                <w:rFonts w:hint="eastAsia" w:ascii="宋体" w:hAnsi="宋体" w:cs="宋体"/>
                <w:kern w:val="0"/>
                <w:lang w:val="en-US" w:eastAsia="zh-CN"/>
              </w:rPr>
              <w:t>0</w:t>
            </w:r>
          </w:p>
        </w:tc>
      </w:tr>
    </w:tbl>
    <w:p>
      <w:pPr>
        <w:shd w:val="clear" w:color="auto" w:fill="FFFFFF"/>
        <w:spacing w:line="600" w:lineRule="exact"/>
        <w:rPr>
          <w:rFonts w:hint="eastAsia" w:ascii="黑体" w:hAnsi="黑体" w:eastAsia="黑体" w:cs="宋体"/>
          <w:bCs/>
          <w:kern w:val="0"/>
          <w:sz w:val="32"/>
          <w:szCs w:val="32"/>
        </w:rPr>
      </w:pPr>
    </w:p>
    <w:p>
      <w:pPr>
        <w:shd w:val="clear" w:color="auto" w:fill="FFFFFF"/>
        <w:spacing w:line="60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三、收到和处理政府信息公开申请情况</w:t>
      </w:r>
    </w:p>
    <w:p>
      <w:pPr>
        <w:widowControl/>
        <w:spacing w:line="432" w:lineRule="auto"/>
        <w:rPr>
          <w:rFonts w:ascii="宋体" w:hAnsi="宋体" w:cs="宋体"/>
          <w:kern w:val="0"/>
          <w:sz w:val="24"/>
          <w:szCs w:val="24"/>
        </w:rPr>
      </w:pP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 xml:space="preserve"> 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ind w:firstLine="200" w:firstLineChars="100"/>
              <w:jc w:val="both"/>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 xml:space="preserve"> 1</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2</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1"/>
                <w:szCs w:val="21"/>
                <w:lang w:val="en-US" w:eastAsia="zh-CN" w:bidi="ar-SA"/>
              </w:rPr>
            </w:pPr>
            <w:r>
              <w:rPr>
                <w:rFonts w:hint="eastAsia" w:ascii="宋体" w:hAnsi="宋体" w:cs="宋体"/>
                <w:kern w:val="0"/>
              </w:rPr>
              <w:t>0</w:t>
            </w:r>
          </w:p>
        </w:tc>
      </w:tr>
    </w:tbl>
    <w:p>
      <w:pPr>
        <w:widowControl/>
        <w:spacing w:line="432" w:lineRule="auto"/>
        <w:jc w:val="center"/>
        <w:rPr>
          <w:rFonts w:ascii="宋体" w:hAnsi="宋体" w:cs="宋体"/>
          <w:kern w:val="0"/>
          <w:sz w:val="24"/>
          <w:szCs w:val="24"/>
        </w:rPr>
      </w:pPr>
    </w:p>
    <w:p>
      <w:pPr>
        <w:widowControl/>
        <w:spacing w:line="432" w:lineRule="auto"/>
        <w:ind w:firstLine="480"/>
        <w:rPr>
          <w:rFonts w:ascii="宋体" w:hAnsi="宋体" w:cs="宋体"/>
          <w:kern w:val="0"/>
          <w:sz w:val="24"/>
          <w:szCs w:val="24"/>
        </w:rPr>
      </w:pPr>
      <w:r>
        <w:rPr>
          <w:rFonts w:hint="eastAsia" w:ascii="黑体" w:hAnsi="黑体" w:eastAsia="黑体" w:cs="黑体"/>
          <w:b w:val="0"/>
          <w:bCs w:val="0"/>
          <w:kern w:val="0"/>
          <w:sz w:val="32"/>
          <w:szCs w:val="32"/>
        </w:rPr>
        <w:t>四、政府信息公开行政复议、行政诉讼情况</w:t>
      </w:r>
    </w:p>
    <w:tbl>
      <w:tblPr>
        <w:tblStyle w:val="7"/>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r>
              <w:rPr>
                <w:rFonts w:hint="eastAsia" w:ascii="宋体" w:hAnsi="宋体" w:cs="宋体"/>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r>
              <w:rPr>
                <w:rFonts w:hint="eastAsia" w:ascii="宋体" w:hAnsi="宋体" w:cs="宋体"/>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left"/>
        <w:rPr>
          <w:rFonts w:ascii="宋体" w:hAnsi="宋体" w:cs="宋体"/>
          <w:kern w:val="0"/>
          <w:sz w:val="24"/>
          <w:szCs w:val="24"/>
        </w:rPr>
      </w:pPr>
    </w:p>
    <w:p>
      <w:pPr>
        <w:shd w:val="clear" w:color="auto" w:fill="FFFFFF"/>
        <w:spacing w:line="60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五、存在的主要问题及改进情况</w:t>
      </w:r>
    </w:p>
    <w:p>
      <w:pPr>
        <w:shd w:val="clear" w:color="auto" w:fill="FFFFFF"/>
        <w:spacing w:line="600" w:lineRule="exact"/>
        <w:ind w:firstLine="640" w:firstLineChars="200"/>
        <w:rPr>
          <w:rFonts w:hint="eastAsia" w:ascii="仿宋_GB2312" w:hAnsi="黑体" w:eastAsia="仿宋_GB2312" w:cs="宋体"/>
          <w:kern w:val="0"/>
          <w:sz w:val="32"/>
          <w:szCs w:val="32"/>
        </w:rPr>
      </w:pPr>
      <w:r>
        <w:rPr>
          <w:rFonts w:hint="eastAsia" w:ascii="仿宋_GB2312" w:hAnsi="黑体" w:eastAsia="仿宋_GB2312" w:cs="宋体"/>
          <w:kern w:val="0"/>
          <w:sz w:val="32"/>
          <w:szCs w:val="32"/>
        </w:rPr>
        <w:t>202</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年本局信息公开工作虽然取得一定成效，但仍存在一些不足，如在特色工作建设等方面还有待进一步加强。202</w:t>
      </w:r>
      <w:r>
        <w:rPr>
          <w:rFonts w:hint="eastAsia" w:ascii="仿宋_GB2312" w:hAnsi="黑体" w:eastAsia="仿宋_GB2312" w:cs="宋体"/>
          <w:kern w:val="0"/>
          <w:sz w:val="32"/>
          <w:szCs w:val="32"/>
          <w:lang w:val="en-US" w:eastAsia="zh-CN"/>
        </w:rPr>
        <w:t>4</w:t>
      </w:r>
      <w:r>
        <w:rPr>
          <w:rFonts w:hint="eastAsia" w:ascii="仿宋_GB2312" w:hAnsi="黑体" w:eastAsia="仿宋_GB2312" w:cs="宋体"/>
          <w:kern w:val="0"/>
          <w:sz w:val="32"/>
          <w:szCs w:val="32"/>
        </w:rPr>
        <w:t>年，本局将</w:t>
      </w:r>
      <w:r>
        <w:rPr>
          <w:rFonts w:hint="eastAsia" w:ascii="仿宋_GB2312" w:hAnsi="黑体" w:eastAsia="仿宋_GB2312" w:cs="宋体"/>
          <w:kern w:val="0"/>
          <w:sz w:val="32"/>
          <w:szCs w:val="32"/>
          <w:lang w:eastAsia="zh-CN"/>
        </w:rPr>
        <w:t>进一步提升信息公开工作能力，不断</w:t>
      </w:r>
      <w:r>
        <w:rPr>
          <w:rFonts w:hint="eastAsia" w:ascii="仿宋_GB2312" w:hAnsi="黑体" w:eastAsia="仿宋_GB2312" w:cs="宋体"/>
          <w:kern w:val="0"/>
          <w:sz w:val="32"/>
          <w:szCs w:val="32"/>
        </w:rPr>
        <w:t>加强创新，提高信息公开工作特色化水平。</w:t>
      </w:r>
    </w:p>
    <w:p>
      <w:pPr>
        <w:shd w:val="clear" w:color="auto" w:fill="FFFFFF"/>
        <w:spacing w:line="60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六、其他需要报告的事项</w:t>
      </w:r>
    </w:p>
    <w:p>
      <w:pPr>
        <w:shd w:val="clear" w:color="auto" w:fill="FFFFFF"/>
        <w:spacing w:line="600" w:lineRule="exact"/>
        <w:rPr>
          <w:rFonts w:ascii="仿宋_GB2312" w:hAnsi="黑体" w:eastAsia="仿宋_GB2312" w:cs="宋体"/>
          <w:kern w:val="0"/>
          <w:sz w:val="32"/>
          <w:szCs w:val="32"/>
        </w:rPr>
      </w:pPr>
      <w:r>
        <w:rPr>
          <w:rFonts w:hint="eastAsia" w:ascii="仿宋_GB2312" w:hAnsi="黑体" w:eastAsia="仿宋_GB2312" w:cs="宋体"/>
          <w:kern w:val="0"/>
          <w:sz w:val="32"/>
          <w:szCs w:val="32"/>
        </w:rPr>
        <w:t xml:space="preserve">    本部门依申请提供政府信息的收费严格按照国务院办公厅《政府信息公开信息处理费管理办法》及</w:t>
      </w:r>
      <w:r>
        <w:rPr>
          <w:rFonts w:hint="eastAsia" w:ascii="仿宋_GB2312" w:hAnsi="黑体" w:eastAsia="仿宋_GB2312" w:cs="宋体"/>
          <w:kern w:val="0"/>
          <w:sz w:val="32"/>
          <w:szCs w:val="32"/>
          <w:lang w:eastAsia="zh-CN"/>
        </w:rPr>
        <w:t>我区</w:t>
      </w:r>
      <w:r>
        <w:rPr>
          <w:rFonts w:hint="eastAsia" w:ascii="仿宋_GB2312" w:hAnsi="黑体" w:eastAsia="仿宋_GB2312" w:cs="宋体"/>
          <w:kern w:val="0"/>
          <w:sz w:val="32"/>
          <w:szCs w:val="32"/>
        </w:rPr>
        <w:t>有关规定执行。本部门本年度</w:t>
      </w:r>
      <w:r>
        <w:rPr>
          <w:rFonts w:hint="eastAsia" w:ascii="仿宋_GB2312" w:hAnsi="黑体" w:eastAsia="仿宋_GB2312" w:cs="宋体"/>
          <w:kern w:val="0"/>
          <w:sz w:val="32"/>
          <w:szCs w:val="32"/>
          <w:lang w:eastAsia="zh-CN"/>
        </w:rPr>
        <w:t>未收取</w:t>
      </w:r>
      <w:r>
        <w:rPr>
          <w:rFonts w:hint="eastAsia" w:ascii="仿宋_GB2312" w:hAnsi="黑体" w:eastAsia="仿宋_GB2312" w:cs="宋体"/>
          <w:kern w:val="0"/>
          <w:sz w:val="32"/>
          <w:szCs w:val="32"/>
        </w:rPr>
        <w:t>政府信息公开相关费用。</w:t>
      </w:r>
    </w:p>
    <w:p>
      <w:pPr>
        <w:shd w:val="clear" w:color="auto" w:fill="FFFFFF"/>
        <w:spacing w:line="600" w:lineRule="exact"/>
        <w:rPr>
          <w:rFonts w:ascii="仿宋_GB2312" w:hAnsi="黑体" w:eastAsia="仿宋_GB2312" w:cs="宋体"/>
          <w:kern w:val="0"/>
          <w:sz w:val="32"/>
          <w:szCs w:val="32"/>
        </w:rPr>
      </w:pPr>
    </w:p>
    <w:p>
      <w:pPr>
        <w:spacing w:line="360" w:lineRule="auto"/>
        <w:rPr>
          <w:rFonts w:ascii="仿宋_GB2312" w:hAnsi="宋体" w:eastAsia="仿宋_GB2312" w:cs="Times New Roman"/>
          <w:sz w:val="32"/>
          <w:szCs w:val="32"/>
        </w:rPr>
      </w:pPr>
    </w:p>
    <w:p>
      <w:pPr>
        <w:rPr>
          <w:rFonts w:ascii="仿宋_GB2312" w:hAnsi="宋体" w:eastAsia="仿宋_GB2312" w:cs="Times New Roman"/>
          <w:sz w:val="32"/>
          <w:szCs w:val="32"/>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BB49D2-CC66-4EDA-BDB9-492797597EA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AE38A6AD-F35E-47FF-AABC-4041E21DFA02}"/>
  </w:font>
  <w:font w:name="仿宋_GB2312">
    <w:panose1 w:val="02010609030101010101"/>
    <w:charset w:val="86"/>
    <w:family w:val="modern"/>
    <w:pitch w:val="default"/>
    <w:sig w:usb0="00000001" w:usb1="080E0000" w:usb2="00000000" w:usb3="00000000" w:csb0="00040000" w:csb1="00000000"/>
    <w:embedRegular r:id="rId3" w:fontKey="{9B677EE3-B4BE-47AC-A750-908C345B6A33}"/>
  </w:font>
  <w:font w:name="楷体_GB2312">
    <w:panose1 w:val="02010609030101010101"/>
    <w:charset w:val="86"/>
    <w:family w:val="modern"/>
    <w:pitch w:val="default"/>
    <w:sig w:usb0="00000001" w:usb1="080E0000" w:usb2="00000000" w:usb3="00000000" w:csb0="00040000" w:csb1="00000000"/>
    <w:embedRegular r:id="rId4" w:fontKey="{0F2C9551-61F4-4AAC-AB76-8543DEB3025D}"/>
  </w:font>
  <w:font w:name="楷体">
    <w:panose1 w:val="02010609060101010101"/>
    <w:charset w:val="86"/>
    <w:family w:val="modern"/>
    <w:pitch w:val="default"/>
    <w:sig w:usb0="800002BF" w:usb1="38CF7CFA" w:usb2="00000016" w:usb3="00000000" w:csb0="00040001" w:csb1="00000000"/>
    <w:embedRegular r:id="rId5" w:fontKey="{4D663BF3-6461-49D8-AB67-AA7EE88AD4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cs="Times New Roman"/>
      </w:rP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jRiZTE1NTU4OWRlZTljYzc4N2E4ODM3NDdiYzQwNjgifQ=="/>
  </w:docVars>
  <w:rsids>
    <w:rsidRoot w:val="00DA332F"/>
    <w:rsid w:val="00055550"/>
    <w:rsid w:val="00061E2D"/>
    <w:rsid w:val="0006305C"/>
    <w:rsid w:val="000B0043"/>
    <w:rsid w:val="000C10ED"/>
    <w:rsid w:val="000D71F1"/>
    <w:rsid w:val="000E3680"/>
    <w:rsid w:val="001B3F23"/>
    <w:rsid w:val="001B4610"/>
    <w:rsid w:val="001B4B48"/>
    <w:rsid w:val="001E0FC3"/>
    <w:rsid w:val="00233B8A"/>
    <w:rsid w:val="002E2696"/>
    <w:rsid w:val="002E3345"/>
    <w:rsid w:val="002E49C4"/>
    <w:rsid w:val="003301E7"/>
    <w:rsid w:val="00341EC4"/>
    <w:rsid w:val="003D6F53"/>
    <w:rsid w:val="003F6EF7"/>
    <w:rsid w:val="003F7585"/>
    <w:rsid w:val="00420E10"/>
    <w:rsid w:val="00495B8A"/>
    <w:rsid w:val="004B3DBA"/>
    <w:rsid w:val="004C43A0"/>
    <w:rsid w:val="004D3EC8"/>
    <w:rsid w:val="00524592"/>
    <w:rsid w:val="00540924"/>
    <w:rsid w:val="0056356B"/>
    <w:rsid w:val="006138C0"/>
    <w:rsid w:val="006141D5"/>
    <w:rsid w:val="006218B3"/>
    <w:rsid w:val="006663EC"/>
    <w:rsid w:val="006746C7"/>
    <w:rsid w:val="0070404A"/>
    <w:rsid w:val="00705DBE"/>
    <w:rsid w:val="007D0714"/>
    <w:rsid w:val="007D3FE1"/>
    <w:rsid w:val="008C785E"/>
    <w:rsid w:val="008E02E1"/>
    <w:rsid w:val="008E34FA"/>
    <w:rsid w:val="008F12D4"/>
    <w:rsid w:val="009240E2"/>
    <w:rsid w:val="00945403"/>
    <w:rsid w:val="009471CC"/>
    <w:rsid w:val="00950C7A"/>
    <w:rsid w:val="00966AEB"/>
    <w:rsid w:val="009D41F4"/>
    <w:rsid w:val="00A008FA"/>
    <w:rsid w:val="00A144A0"/>
    <w:rsid w:val="00A22363"/>
    <w:rsid w:val="00A37ED4"/>
    <w:rsid w:val="00A52B41"/>
    <w:rsid w:val="00A84E5D"/>
    <w:rsid w:val="00A9579A"/>
    <w:rsid w:val="00AB50D5"/>
    <w:rsid w:val="00AE1202"/>
    <w:rsid w:val="00B25C04"/>
    <w:rsid w:val="00B73C6C"/>
    <w:rsid w:val="00B85D68"/>
    <w:rsid w:val="00B97F4C"/>
    <w:rsid w:val="00BC411B"/>
    <w:rsid w:val="00C01660"/>
    <w:rsid w:val="00C445AC"/>
    <w:rsid w:val="00C95C1A"/>
    <w:rsid w:val="00CF10C3"/>
    <w:rsid w:val="00D520DA"/>
    <w:rsid w:val="00D56A53"/>
    <w:rsid w:val="00D749BE"/>
    <w:rsid w:val="00DA332F"/>
    <w:rsid w:val="00DF19AD"/>
    <w:rsid w:val="00E76EFE"/>
    <w:rsid w:val="00EB5D15"/>
    <w:rsid w:val="00F04174"/>
    <w:rsid w:val="00F40AC5"/>
    <w:rsid w:val="00F560E3"/>
    <w:rsid w:val="00F8298F"/>
    <w:rsid w:val="00FA5230"/>
    <w:rsid w:val="00FB354B"/>
    <w:rsid w:val="01101FF7"/>
    <w:rsid w:val="01785767"/>
    <w:rsid w:val="020E6EBB"/>
    <w:rsid w:val="02447C72"/>
    <w:rsid w:val="029C3B08"/>
    <w:rsid w:val="02AE00E7"/>
    <w:rsid w:val="02B50726"/>
    <w:rsid w:val="03051984"/>
    <w:rsid w:val="04320650"/>
    <w:rsid w:val="043446C8"/>
    <w:rsid w:val="05003DF9"/>
    <w:rsid w:val="05B20D58"/>
    <w:rsid w:val="06E82852"/>
    <w:rsid w:val="073B50B1"/>
    <w:rsid w:val="07625374"/>
    <w:rsid w:val="07A14ABA"/>
    <w:rsid w:val="07B5684A"/>
    <w:rsid w:val="080C13C2"/>
    <w:rsid w:val="08813AAD"/>
    <w:rsid w:val="093C7589"/>
    <w:rsid w:val="09EB05D3"/>
    <w:rsid w:val="0A03446D"/>
    <w:rsid w:val="0A382C50"/>
    <w:rsid w:val="0A5D45AC"/>
    <w:rsid w:val="0B50723E"/>
    <w:rsid w:val="0C6F1945"/>
    <w:rsid w:val="0D811433"/>
    <w:rsid w:val="0EC02DA0"/>
    <w:rsid w:val="0F5A6277"/>
    <w:rsid w:val="0F6A303E"/>
    <w:rsid w:val="10817822"/>
    <w:rsid w:val="10DF4B9E"/>
    <w:rsid w:val="114A128D"/>
    <w:rsid w:val="118519F8"/>
    <w:rsid w:val="1279795D"/>
    <w:rsid w:val="12D95AD7"/>
    <w:rsid w:val="134E7088"/>
    <w:rsid w:val="13D169E2"/>
    <w:rsid w:val="13F2448D"/>
    <w:rsid w:val="148A2BC0"/>
    <w:rsid w:val="14D62EA9"/>
    <w:rsid w:val="150C2E4E"/>
    <w:rsid w:val="15B979C2"/>
    <w:rsid w:val="169B49E0"/>
    <w:rsid w:val="16AD7C3A"/>
    <w:rsid w:val="16B47DF4"/>
    <w:rsid w:val="16C90B70"/>
    <w:rsid w:val="16E8315C"/>
    <w:rsid w:val="16FE695A"/>
    <w:rsid w:val="170517E2"/>
    <w:rsid w:val="173805EB"/>
    <w:rsid w:val="174E114A"/>
    <w:rsid w:val="17841624"/>
    <w:rsid w:val="188F5764"/>
    <w:rsid w:val="18EE45A1"/>
    <w:rsid w:val="18F24A3B"/>
    <w:rsid w:val="19855762"/>
    <w:rsid w:val="198D4848"/>
    <w:rsid w:val="1A092647"/>
    <w:rsid w:val="1A363A0E"/>
    <w:rsid w:val="1A5D6335"/>
    <w:rsid w:val="1B2B236B"/>
    <w:rsid w:val="1B52453E"/>
    <w:rsid w:val="1B62359C"/>
    <w:rsid w:val="1BC03F17"/>
    <w:rsid w:val="1BEE3761"/>
    <w:rsid w:val="1C1B382E"/>
    <w:rsid w:val="1C5C23DC"/>
    <w:rsid w:val="1CB30F21"/>
    <w:rsid w:val="1DE008F5"/>
    <w:rsid w:val="1E2E3C90"/>
    <w:rsid w:val="21D34D91"/>
    <w:rsid w:val="2277734E"/>
    <w:rsid w:val="23A37038"/>
    <w:rsid w:val="23AD37BC"/>
    <w:rsid w:val="23E2002F"/>
    <w:rsid w:val="25477818"/>
    <w:rsid w:val="25CF4697"/>
    <w:rsid w:val="26385BDF"/>
    <w:rsid w:val="26A83F7A"/>
    <w:rsid w:val="26D94B49"/>
    <w:rsid w:val="27ED49C0"/>
    <w:rsid w:val="27FB4418"/>
    <w:rsid w:val="283B7550"/>
    <w:rsid w:val="287E1436"/>
    <w:rsid w:val="28887BBF"/>
    <w:rsid w:val="28EF7AB7"/>
    <w:rsid w:val="29051C5B"/>
    <w:rsid w:val="2966399E"/>
    <w:rsid w:val="2B646F1A"/>
    <w:rsid w:val="2B694081"/>
    <w:rsid w:val="2B876854"/>
    <w:rsid w:val="2B9F14E8"/>
    <w:rsid w:val="2BFF5405"/>
    <w:rsid w:val="2C451D2D"/>
    <w:rsid w:val="2CF10822"/>
    <w:rsid w:val="2D924E5C"/>
    <w:rsid w:val="2DEE002E"/>
    <w:rsid w:val="2E603BAD"/>
    <w:rsid w:val="2ECC4007"/>
    <w:rsid w:val="2EF67098"/>
    <w:rsid w:val="2F0E58CB"/>
    <w:rsid w:val="2F134968"/>
    <w:rsid w:val="2FF26B2A"/>
    <w:rsid w:val="301973EF"/>
    <w:rsid w:val="3091013E"/>
    <w:rsid w:val="31CD20C4"/>
    <w:rsid w:val="329D32A1"/>
    <w:rsid w:val="33603C4B"/>
    <w:rsid w:val="3415190F"/>
    <w:rsid w:val="355063DA"/>
    <w:rsid w:val="35523A2F"/>
    <w:rsid w:val="356B689E"/>
    <w:rsid w:val="35BD4BE3"/>
    <w:rsid w:val="368202C1"/>
    <w:rsid w:val="36D3353F"/>
    <w:rsid w:val="37767C43"/>
    <w:rsid w:val="37C7238E"/>
    <w:rsid w:val="38153173"/>
    <w:rsid w:val="388440A6"/>
    <w:rsid w:val="38EB0A50"/>
    <w:rsid w:val="39550C8F"/>
    <w:rsid w:val="39766971"/>
    <w:rsid w:val="39FF1CAB"/>
    <w:rsid w:val="3C3154B5"/>
    <w:rsid w:val="3D0831AD"/>
    <w:rsid w:val="3DAE273F"/>
    <w:rsid w:val="3E40410F"/>
    <w:rsid w:val="3EE75BFC"/>
    <w:rsid w:val="3EED2A1A"/>
    <w:rsid w:val="3F381EE7"/>
    <w:rsid w:val="3F473552"/>
    <w:rsid w:val="3F9E227E"/>
    <w:rsid w:val="402F775F"/>
    <w:rsid w:val="406008A6"/>
    <w:rsid w:val="40D63E3C"/>
    <w:rsid w:val="40FB141E"/>
    <w:rsid w:val="41BD2B78"/>
    <w:rsid w:val="42334D1E"/>
    <w:rsid w:val="43615785"/>
    <w:rsid w:val="43C96596"/>
    <w:rsid w:val="453C66A3"/>
    <w:rsid w:val="4598072C"/>
    <w:rsid w:val="462640A2"/>
    <w:rsid w:val="468562DA"/>
    <w:rsid w:val="46E71F62"/>
    <w:rsid w:val="474C555D"/>
    <w:rsid w:val="474F068C"/>
    <w:rsid w:val="47560017"/>
    <w:rsid w:val="476E3183"/>
    <w:rsid w:val="47E17389"/>
    <w:rsid w:val="47F02635"/>
    <w:rsid w:val="483A4D9A"/>
    <w:rsid w:val="48BA3162"/>
    <w:rsid w:val="48CD7CF2"/>
    <w:rsid w:val="48CF1182"/>
    <w:rsid w:val="48E43FA6"/>
    <w:rsid w:val="492B486B"/>
    <w:rsid w:val="493C4382"/>
    <w:rsid w:val="49CE5EC7"/>
    <w:rsid w:val="49CF10B9"/>
    <w:rsid w:val="4A6C2095"/>
    <w:rsid w:val="4B8B65A5"/>
    <w:rsid w:val="4BCC53AA"/>
    <w:rsid w:val="4C25426E"/>
    <w:rsid w:val="4D8D55CF"/>
    <w:rsid w:val="4DC470C0"/>
    <w:rsid w:val="4DED1613"/>
    <w:rsid w:val="4E5D3FEE"/>
    <w:rsid w:val="4F1A5BDF"/>
    <w:rsid w:val="4F496C18"/>
    <w:rsid w:val="4F51078F"/>
    <w:rsid w:val="4F7C4B49"/>
    <w:rsid w:val="50606FD1"/>
    <w:rsid w:val="50830AE8"/>
    <w:rsid w:val="51160A18"/>
    <w:rsid w:val="51465AD9"/>
    <w:rsid w:val="51895F4A"/>
    <w:rsid w:val="51DA1527"/>
    <w:rsid w:val="5233653E"/>
    <w:rsid w:val="523C3ED5"/>
    <w:rsid w:val="528F4EB5"/>
    <w:rsid w:val="53483CC1"/>
    <w:rsid w:val="53F577CC"/>
    <w:rsid w:val="54092BE1"/>
    <w:rsid w:val="54786EC8"/>
    <w:rsid w:val="54A82FC3"/>
    <w:rsid w:val="54AF7FD7"/>
    <w:rsid w:val="55594FAD"/>
    <w:rsid w:val="55BD7D81"/>
    <w:rsid w:val="56B04601"/>
    <w:rsid w:val="56CF3243"/>
    <w:rsid w:val="57044ED0"/>
    <w:rsid w:val="571C370A"/>
    <w:rsid w:val="57602C9A"/>
    <w:rsid w:val="577F009D"/>
    <w:rsid w:val="57AC78D3"/>
    <w:rsid w:val="58307C5F"/>
    <w:rsid w:val="58973329"/>
    <w:rsid w:val="58C45073"/>
    <w:rsid w:val="591470C9"/>
    <w:rsid w:val="59CA48A3"/>
    <w:rsid w:val="59D52765"/>
    <w:rsid w:val="59F257D2"/>
    <w:rsid w:val="59FC26E5"/>
    <w:rsid w:val="5A3E0E8E"/>
    <w:rsid w:val="5A4C7F66"/>
    <w:rsid w:val="5A9E234F"/>
    <w:rsid w:val="5AA86299"/>
    <w:rsid w:val="5C363B00"/>
    <w:rsid w:val="5C4C5890"/>
    <w:rsid w:val="5CED5AE3"/>
    <w:rsid w:val="5D08326C"/>
    <w:rsid w:val="5DB93D9B"/>
    <w:rsid w:val="5E4B57FB"/>
    <w:rsid w:val="5EFB518E"/>
    <w:rsid w:val="5F6324CC"/>
    <w:rsid w:val="605C4EFD"/>
    <w:rsid w:val="60884F45"/>
    <w:rsid w:val="60A81824"/>
    <w:rsid w:val="628A3F58"/>
    <w:rsid w:val="62BA2877"/>
    <w:rsid w:val="63890F3D"/>
    <w:rsid w:val="64A977B5"/>
    <w:rsid w:val="651F1FA4"/>
    <w:rsid w:val="6531679C"/>
    <w:rsid w:val="66515271"/>
    <w:rsid w:val="673C2C8D"/>
    <w:rsid w:val="67437EFA"/>
    <w:rsid w:val="675F3C06"/>
    <w:rsid w:val="67BD6B7E"/>
    <w:rsid w:val="67D85387"/>
    <w:rsid w:val="68095BBE"/>
    <w:rsid w:val="68A869C0"/>
    <w:rsid w:val="68AE0A7C"/>
    <w:rsid w:val="68DB5F16"/>
    <w:rsid w:val="694C74CE"/>
    <w:rsid w:val="695C63BD"/>
    <w:rsid w:val="69B95989"/>
    <w:rsid w:val="69DE2FD7"/>
    <w:rsid w:val="6A7964C9"/>
    <w:rsid w:val="6A9A0475"/>
    <w:rsid w:val="6BD702F7"/>
    <w:rsid w:val="6BD858FE"/>
    <w:rsid w:val="6C2F3E68"/>
    <w:rsid w:val="6C3E0B26"/>
    <w:rsid w:val="6C9327AE"/>
    <w:rsid w:val="6CE547B7"/>
    <w:rsid w:val="6EB86DBB"/>
    <w:rsid w:val="6EFE0738"/>
    <w:rsid w:val="6F146FCA"/>
    <w:rsid w:val="7036571F"/>
    <w:rsid w:val="70D21899"/>
    <w:rsid w:val="713F7E36"/>
    <w:rsid w:val="71A06B88"/>
    <w:rsid w:val="72767C6A"/>
    <w:rsid w:val="72A5093A"/>
    <w:rsid w:val="739A5FC5"/>
    <w:rsid w:val="74A22F42"/>
    <w:rsid w:val="750C03E9"/>
    <w:rsid w:val="75B415C0"/>
    <w:rsid w:val="76101441"/>
    <w:rsid w:val="769C1025"/>
    <w:rsid w:val="79AF7798"/>
    <w:rsid w:val="7A4931A2"/>
    <w:rsid w:val="7ADE3B13"/>
    <w:rsid w:val="7B4942E0"/>
    <w:rsid w:val="7B6206E6"/>
    <w:rsid w:val="7BBE1A87"/>
    <w:rsid w:val="7C7D7AC0"/>
    <w:rsid w:val="7CF9108D"/>
    <w:rsid w:val="7D2F6E7D"/>
    <w:rsid w:val="7D4C6F93"/>
    <w:rsid w:val="7DB00B43"/>
    <w:rsid w:val="7E434D17"/>
    <w:rsid w:val="7E9B7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99"/>
    <w:pPr>
      <w:snapToGrid w:val="0"/>
      <w:spacing w:line="540" w:lineRule="exact"/>
      <w:ind w:firstLine="200" w:firstLineChars="200"/>
    </w:pPr>
    <w:rPr>
      <w:rFonts w:ascii="宋体" w:cs="宋体"/>
      <w:sz w:val="24"/>
      <w:szCs w:val="24"/>
    </w:rPr>
  </w:style>
  <w:style w:type="paragraph" w:styleId="3">
    <w:name w:val="Date"/>
    <w:basedOn w:val="1"/>
    <w:next w:val="1"/>
    <w:link w:val="16"/>
    <w:unhideWhenUsed/>
    <w:qFormat/>
    <w:uiPriority w:val="0"/>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Hyperlink"/>
    <w:basedOn w:val="9"/>
    <w:qFormat/>
    <w:uiPriority w:val="99"/>
    <w:rPr>
      <w:color w:val="0000FF"/>
      <w:u w:val="single"/>
    </w:rPr>
  </w:style>
  <w:style w:type="character" w:customStyle="1" w:styleId="12">
    <w:name w:val="纯文本 Char"/>
    <w:basedOn w:val="9"/>
    <w:link w:val="2"/>
    <w:semiHidden/>
    <w:qFormat/>
    <w:uiPriority w:val="99"/>
    <w:rPr>
      <w:rFonts w:ascii="宋体" w:hAnsi="Courier New" w:cs="Courier New"/>
      <w:szCs w:val="21"/>
    </w:rPr>
  </w:style>
  <w:style w:type="character" w:customStyle="1" w:styleId="13">
    <w:name w:val="批注框文本 Char"/>
    <w:basedOn w:val="9"/>
    <w:link w:val="4"/>
    <w:qFormat/>
    <w:locked/>
    <w:uiPriority w:val="99"/>
    <w:rPr>
      <w:rFonts w:ascii="Calibri" w:hAnsi="Calibri" w:eastAsia="宋体" w:cs="Calibri"/>
      <w:kern w:val="2"/>
      <w:sz w:val="18"/>
      <w:szCs w:val="18"/>
    </w:rPr>
  </w:style>
  <w:style w:type="character" w:customStyle="1" w:styleId="14">
    <w:name w:val="页脚 Char"/>
    <w:basedOn w:val="9"/>
    <w:link w:val="5"/>
    <w:semiHidden/>
    <w:qFormat/>
    <w:uiPriority w:val="99"/>
    <w:rPr>
      <w:rFonts w:ascii="Calibri" w:hAnsi="Calibri" w:cs="Calibri"/>
      <w:sz w:val="18"/>
      <w:szCs w:val="18"/>
    </w:rPr>
  </w:style>
  <w:style w:type="character" w:customStyle="1" w:styleId="15">
    <w:name w:val="页眉 Char"/>
    <w:basedOn w:val="9"/>
    <w:link w:val="6"/>
    <w:semiHidden/>
    <w:qFormat/>
    <w:uiPriority w:val="99"/>
    <w:rPr>
      <w:rFonts w:ascii="Calibri" w:hAnsi="Calibri" w:cs="Calibri"/>
      <w:sz w:val="18"/>
      <w:szCs w:val="18"/>
    </w:rPr>
  </w:style>
  <w:style w:type="character" w:customStyle="1" w:styleId="16">
    <w:name w:val="日期 Char"/>
    <w:basedOn w:val="9"/>
    <w:link w:val="3"/>
    <w:semiHidden/>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2307</Words>
  <Characters>2369</Characters>
  <Lines>20</Lines>
  <Paragraphs>5</Paragraphs>
  <TotalTime>4</TotalTime>
  <ScaleCrop>false</ScaleCrop>
  <LinksUpToDate>false</LinksUpToDate>
  <CharactersWithSpaces>2412</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2022-12-30T01:35:00Z</dcterms:created>
  <dc:creator>lhm</dc:creator>
  <cp:lastModifiedBy>裘文彬</cp:lastModifiedBy>
  <cp:lastPrinted>2019-12-23T08:38:00Z</cp:lastPrinted>
  <dcterms:modified xsi:type="dcterms:W3CDTF">2024-02-20T01:33:56Z</dcterms:modified>
  <dc:title>办</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6CEA5B224B004596925962B009EE44D4</vt:lpwstr>
  </property>
</Properties>
</file>