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rFonts w:ascii="仿宋_GB2312" w:hAnsi="仿宋_GB2312" w:eastAsia="仿宋_GB2312" w:cs="仿宋_GB2312"/>
          <w:b/>
          <w:bCs/>
          <w:color w:val="333333"/>
          <w:kern w:val="0"/>
          <w:sz w:val="36"/>
          <w:szCs w:val="36"/>
        </w:rPr>
      </w:pPr>
    </w:p>
    <w:p>
      <w:pPr>
        <w:widowControl/>
        <w:shd w:val="clear" w:color="auto" w:fill="FFFFFF"/>
        <w:jc w:val="center"/>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36"/>
          <w:szCs w:val="36"/>
        </w:rPr>
        <w:t>杭州市拱墅区人民政府石桥街道办事处2023年度政府信息公开工作年度报告</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color w:val="333333"/>
          <w:kern w:val="0"/>
          <w:sz w:val="27"/>
          <w:szCs w:val="27"/>
        </w:rPr>
        <w:t>依据《中华人民共和国政府信息公开条例》(以下简称《政府信息公开条例》)第五十条规定，编制本报告。报告中使用数据统计期限为2023年1月1日至12月31日。</w:t>
      </w:r>
    </w:p>
    <w:p>
      <w:pPr>
        <w:widowControl/>
        <w:numPr>
          <w:ilvl w:val="0"/>
          <w:numId w:val="1"/>
        </w:numPr>
        <w:shd w:val="clear" w:color="auto" w:fill="FFFFFF"/>
        <w:ind w:firstLine="480"/>
        <w:rPr>
          <w:rFonts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总体情况</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2023年，杭州市拱墅区人民政府石桥街道办事处坚持以习近平新时代中国特色社会主义思想为指导，深入贯彻习近平总书记考察浙江重要讲话精神、省市区委全会精神，按照国家、省市区关于全面推进政务公开工作决策部署，紧紧围绕三个“一号工程”、经济翻身仗、亚运攻坚仗工作部署，以更高站位、更实举措、更严要求全面深化政务公开工作。</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是严格执行招投标信息公开制度，通过拱墅区政务门户网站等平台及时准确发布招标公告和公示信息，全力推动营商环境提升；二是围绕重点民生领域和群众关心关切，细化信息公开内容，切实提升公开质效；三是及时更新机构设置、人员变动、计划总结、财政预决算、重点工作执行情况等信息，方便群众实时获取并监督；四是畅通权威信息发布渠道，通过市级以上主流媒体和区融媒体中心宣传矩阵加大街道工作动态信息推送力度，传递石桥好声音。</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理顺机制，引入法律顾问、公职律师参与依申请公开答复合法性审查工作，完善依申请公开办理工作流程，规范依申请公开办理答复。2023年，街道共收到政府信息公开申请</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件，均已按时回复，无因政府信息公开工作被申请行政复议或提起行政诉讼的情况。</w:t>
      </w:r>
    </w:p>
    <w:p>
      <w:pPr>
        <w:widowControl/>
        <w:numPr>
          <w:ilvl w:val="0"/>
          <w:numId w:val="2"/>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政府信息管理</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坚持“先审查后公开”原则，严格把关，确保信息公开不出纰漏。定期开展自查工作，及时查漏补缺，及时整改提升。落实好政府信息公开保密审核制度，确保信息安全，不发布与政府职能没有直接关联的信息，不发布任何涉及国家安全和有保密要求的信息，不发布未经审核的信息。</w:t>
      </w:r>
    </w:p>
    <w:p>
      <w:pPr>
        <w:widowControl/>
        <w:numPr>
          <w:ilvl w:val="0"/>
          <w:numId w:val="2"/>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政府信息公开平台建设</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完善以区政府门户网站为主、区融媒体中心宣传矩阵和石桥发布微信公众号为辅的政府信息公开平台，切实保障公民、法人或者其他组织的知情权。对重大活动和重要工作开展宣传报道，让居民群众了解、关注和支持街道工作。借助宣传栏及各社区信息公开栏，定期公开政务党务信息、重大项目和便民服务信息，提高工作的透明度。2023年，通过微信后台留言、回复等形式与居民群众双向互动110余次。</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落实街道政府信息公开工作考核细则。建立政务公开社会评议制度，邀请“两代表一委员”等进机关对政务公开等财政工作情况提出意见建议。以“政府开放日”为载体全面推进政务公开标准化规范化工作，通过座谈会等形式定期向辖区“两代表一委员”、社区工作者、企业代表、流动党员及居民骨干等群体征集意见和建议。畅通监督渠道，及时回应基层群众关切。2023年，未发生政府信息公开责任追究情况。</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10"/>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10"/>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ind w:firstLine="240" w:firstLineChars="1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10"/>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widowControl/>
        <w:shd w:val="clear" w:color="auto" w:fill="FFFFFF"/>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街道政府信息公开工作存在的问题主要有两点：一是公开的内容和形式相对单一，公众关注度不高；二是部分栏目更新还存在滞后性。下一步，街道将进一步增强政府信息公开的主动性和自觉性，加大业务培训力度，积极拓展主动公开的深度和广度，全面提升居民群众对街道政务公开平台的关注度，确保政府信息公开工作健康持续发展。</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本年度未收取政府信息公开处理费。</w:t>
      </w:r>
    </w:p>
    <w:sectPr>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rFonts w:ascii="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99609153">
    <w:nsid w:val="B2CA6741"/>
    <w:multiLevelType w:val="singleLevel"/>
    <w:tmpl w:val="B2CA6741"/>
    <w:lvl w:ilvl="0" w:tentative="1">
      <w:start w:val="1"/>
      <w:numFmt w:val="chineseCounting"/>
      <w:suff w:val="nothing"/>
      <w:lvlText w:val="%1、"/>
      <w:lvlJc w:val="left"/>
      <w:rPr>
        <w:rFonts w:hint="eastAsia"/>
      </w:rPr>
    </w:lvl>
  </w:abstractNum>
  <w:abstractNum w:abstractNumId="3905881071">
    <w:nsid w:val="E8CF03EF"/>
    <w:multiLevelType w:val="singleLevel"/>
    <w:tmpl w:val="E8CF03EF"/>
    <w:lvl w:ilvl="0" w:tentative="1">
      <w:start w:val="3"/>
      <w:numFmt w:val="chineseCounting"/>
      <w:suff w:val="nothing"/>
      <w:lvlText w:val="（%1）"/>
      <w:lvlJc w:val="left"/>
      <w:pPr>
        <w:ind w:left="-60"/>
      </w:pPr>
      <w:rPr>
        <w:rFonts w:hint="eastAsia"/>
      </w:rPr>
    </w:lvl>
  </w:abstractNum>
  <w:num w:numId="1">
    <w:abstractNumId w:val="2999609153"/>
  </w:num>
  <w:num w:numId="2">
    <w:abstractNumId w:val="39058810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332F"/>
    <w:rsid w:val="00055550"/>
    <w:rsid w:val="00061E2D"/>
    <w:rsid w:val="0006305C"/>
    <w:rsid w:val="000B0043"/>
    <w:rsid w:val="000C10ED"/>
    <w:rsid w:val="000D71F1"/>
    <w:rsid w:val="000E3680"/>
    <w:rsid w:val="001B3F23"/>
    <w:rsid w:val="001B4610"/>
    <w:rsid w:val="001B4B48"/>
    <w:rsid w:val="001E0FC3"/>
    <w:rsid w:val="00233B8A"/>
    <w:rsid w:val="00275EC9"/>
    <w:rsid w:val="002E2696"/>
    <w:rsid w:val="002E3345"/>
    <w:rsid w:val="002E49C4"/>
    <w:rsid w:val="003301E7"/>
    <w:rsid w:val="00341EC4"/>
    <w:rsid w:val="003D6F53"/>
    <w:rsid w:val="003F6EF7"/>
    <w:rsid w:val="003F7585"/>
    <w:rsid w:val="00420E10"/>
    <w:rsid w:val="00495B8A"/>
    <w:rsid w:val="004B3DBA"/>
    <w:rsid w:val="004C43A0"/>
    <w:rsid w:val="004D3EC8"/>
    <w:rsid w:val="004E1324"/>
    <w:rsid w:val="00524592"/>
    <w:rsid w:val="00540924"/>
    <w:rsid w:val="0056356B"/>
    <w:rsid w:val="006138C0"/>
    <w:rsid w:val="006141D5"/>
    <w:rsid w:val="006218B3"/>
    <w:rsid w:val="006663EC"/>
    <w:rsid w:val="006746C7"/>
    <w:rsid w:val="006E2E0B"/>
    <w:rsid w:val="0070404A"/>
    <w:rsid w:val="00705DBE"/>
    <w:rsid w:val="007D0714"/>
    <w:rsid w:val="007D3FE1"/>
    <w:rsid w:val="007D589D"/>
    <w:rsid w:val="008C785E"/>
    <w:rsid w:val="008E02E1"/>
    <w:rsid w:val="008E34FA"/>
    <w:rsid w:val="008F12D4"/>
    <w:rsid w:val="009240E2"/>
    <w:rsid w:val="009266B5"/>
    <w:rsid w:val="00945403"/>
    <w:rsid w:val="009471CC"/>
    <w:rsid w:val="00950C7A"/>
    <w:rsid w:val="00966AEB"/>
    <w:rsid w:val="009D41F4"/>
    <w:rsid w:val="009E682D"/>
    <w:rsid w:val="00A008FA"/>
    <w:rsid w:val="00A144A0"/>
    <w:rsid w:val="00A22363"/>
    <w:rsid w:val="00A37ED4"/>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6A53"/>
    <w:rsid w:val="00D749BE"/>
    <w:rsid w:val="00D80227"/>
    <w:rsid w:val="00DA332F"/>
    <w:rsid w:val="00DF19AD"/>
    <w:rsid w:val="00E50E31"/>
    <w:rsid w:val="00E76EFE"/>
    <w:rsid w:val="00EB5D15"/>
    <w:rsid w:val="00F04174"/>
    <w:rsid w:val="00F40AC5"/>
    <w:rsid w:val="00F560E3"/>
    <w:rsid w:val="00F8298F"/>
    <w:rsid w:val="00FA5230"/>
    <w:rsid w:val="00FA674A"/>
    <w:rsid w:val="00FB354B"/>
    <w:rsid w:val="020E6EBB"/>
    <w:rsid w:val="02447C72"/>
    <w:rsid w:val="03051984"/>
    <w:rsid w:val="05003DF9"/>
    <w:rsid w:val="0564256F"/>
    <w:rsid w:val="05B20D58"/>
    <w:rsid w:val="06E82852"/>
    <w:rsid w:val="073B50B1"/>
    <w:rsid w:val="07425A46"/>
    <w:rsid w:val="07625374"/>
    <w:rsid w:val="07B5684A"/>
    <w:rsid w:val="080C13C2"/>
    <w:rsid w:val="08813AAD"/>
    <w:rsid w:val="093C7589"/>
    <w:rsid w:val="09874214"/>
    <w:rsid w:val="09EB05D3"/>
    <w:rsid w:val="0A382C50"/>
    <w:rsid w:val="0CB23C77"/>
    <w:rsid w:val="0D811433"/>
    <w:rsid w:val="0EC02DA0"/>
    <w:rsid w:val="10817822"/>
    <w:rsid w:val="10830B27"/>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7AE026A"/>
    <w:rsid w:val="19855762"/>
    <w:rsid w:val="198D4848"/>
    <w:rsid w:val="1A363A0E"/>
    <w:rsid w:val="1A5D6335"/>
    <w:rsid w:val="1A882D1C"/>
    <w:rsid w:val="1B2B236B"/>
    <w:rsid w:val="1B62359C"/>
    <w:rsid w:val="1BC03F17"/>
    <w:rsid w:val="1BEE3761"/>
    <w:rsid w:val="1CB30F21"/>
    <w:rsid w:val="237203AF"/>
    <w:rsid w:val="23E2002F"/>
    <w:rsid w:val="25CF4697"/>
    <w:rsid w:val="26385BDF"/>
    <w:rsid w:val="26D94B49"/>
    <w:rsid w:val="283B7550"/>
    <w:rsid w:val="28EF7AB7"/>
    <w:rsid w:val="29051C5B"/>
    <w:rsid w:val="29134BE4"/>
    <w:rsid w:val="2966399E"/>
    <w:rsid w:val="2B646F1A"/>
    <w:rsid w:val="2B9F14E8"/>
    <w:rsid w:val="2BB94614"/>
    <w:rsid w:val="2BDD7B90"/>
    <w:rsid w:val="2BFF5405"/>
    <w:rsid w:val="2C451D2D"/>
    <w:rsid w:val="2D924E5C"/>
    <w:rsid w:val="2DEE002E"/>
    <w:rsid w:val="2E603BAD"/>
    <w:rsid w:val="2EF67098"/>
    <w:rsid w:val="2F0E58CB"/>
    <w:rsid w:val="2F134968"/>
    <w:rsid w:val="301973EF"/>
    <w:rsid w:val="3091013E"/>
    <w:rsid w:val="31CD20C4"/>
    <w:rsid w:val="329D32A1"/>
    <w:rsid w:val="32E77E3D"/>
    <w:rsid w:val="33603C4B"/>
    <w:rsid w:val="3415190F"/>
    <w:rsid w:val="355063DA"/>
    <w:rsid w:val="368202C1"/>
    <w:rsid w:val="37C7238E"/>
    <w:rsid w:val="38153173"/>
    <w:rsid w:val="388440A6"/>
    <w:rsid w:val="38EB0A50"/>
    <w:rsid w:val="39550C8F"/>
    <w:rsid w:val="3D0831AD"/>
    <w:rsid w:val="3DAE273F"/>
    <w:rsid w:val="3E40410F"/>
    <w:rsid w:val="3F62692E"/>
    <w:rsid w:val="3F9E227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4C7F66"/>
    <w:rsid w:val="5A9E234F"/>
    <w:rsid w:val="5AA86299"/>
    <w:rsid w:val="5C4C5890"/>
    <w:rsid w:val="5DE34E67"/>
    <w:rsid w:val="5EFB518E"/>
    <w:rsid w:val="5F6324CC"/>
    <w:rsid w:val="60A81824"/>
    <w:rsid w:val="62BA2877"/>
    <w:rsid w:val="63890F3D"/>
    <w:rsid w:val="645427B8"/>
    <w:rsid w:val="64A977B5"/>
    <w:rsid w:val="65F041B9"/>
    <w:rsid w:val="66515271"/>
    <w:rsid w:val="6703445B"/>
    <w:rsid w:val="673C2C8D"/>
    <w:rsid w:val="67437EFA"/>
    <w:rsid w:val="67D85387"/>
    <w:rsid w:val="68A869C0"/>
    <w:rsid w:val="68AE0A7C"/>
    <w:rsid w:val="68DB5F16"/>
    <w:rsid w:val="694223B7"/>
    <w:rsid w:val="694C74CE"/>
    <w:rsid w:val="695C63BD"/>
    <w:rsid w:val="69B95989"/>
    <w:rsid w:val="69DE2FD7"/>
    <w:rsid w:val="6A7964C9"/>
    <w:rsid w:val="6A9A0475"/>
    <w:rsid w:val="6BD858FE"/>
    <w:rsid w:val="6C3E0B26"/>
    <w:rsid w:val="6C9327AE"/>
    <w:rsid w:val="6CE547B7"/>
    <w:rsid w:val="6E61708B"/>
    <w:rsid w:val="6F146FCA"/>
    <w:rsid w:val="713F7E36"/>
    <w:rsid w:val="71A06B88"/>
    <w:rsid w:val="72767C6A"/>
    <w:rsid w:val="74A22F42"/>
    <w:rsid w:val="750C03E9"/>
    <w:rsid w:val="76101441"/>
    <w:rsid w:val="769C1025"/>
    <w:rsid w:val="7A4931A2"/>
    <w:rsid w:val="7ADE3B13"/>
    <w:rsid w:val="7B07426E"/>
    <w:rsid w:val="7B4942E0"/>
    <w:rsid w:val="7B6206E6"/>
    <w:rsid w:val="7BBE1A87"/>
    <w:rsid w:val="7C7D7AC0"/>
    <w:rsid w:val="7CCF179C"/>
    <w:rsid w:val="7CF9108D"/>
    <w:rsid w:val="7D4C6F93"/>
    <w:rsid w:val="7E434D17"/>
    <w:rsid w:val="7E9B7B34"/>
    <w:rsid w:val="FBBFCB19"/>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Plain Text"/>
    <w:basedOn w:val="1"/>
    <w:link w:val="12"/>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6"/>
    <w:unhideWhenUsed/>
    <w:qFormat/>
    <w:uiPriority w:val="0"/>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Strong"/>
    <w:basedOn w:val="7"/>
    <w:qFormat/>
    <w:uiPriority w:val="99"/>
    <w:rPr>
      <w:b/>
      <w:bCs/>
    </w:rPr>
  </w:style>
  <w:style w:type="character" w:styleId="9">
    <w:name w:val="Hyperlink"/>
    <w:basedOn w:val="7"/>
    <w:qFormat/>
    <w:uiPriority w:val="99"/>
    <w:rPr>
      <w:color w:val="0000FF"/>
      <w:u w:val="single"/>
    </w:rPr>
  </w:style>
  <w:style w:type="table" w:styleId="11">
    <w:name w:val="Table Grid"/>
    <w:basedOn w:val="10"/>
    <w:qFormat/>
    <w:uiPriority w:val="99"/>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2">
    <w:name w:val="纯文本 Char"/>
    <w:basedOn w:val="7"/>
    <w:link w:val="2"/>
    <w:semiHidden/>
    <w:qFormat/>
    <w:uiPriority w:val="99"/>
    <w:rPr>
      <w:rFonts w:ascii="宋体" w:hAnsi="Courier New" w:cs="Courier New"/>
      <w:szCs w:val="21"/>
    </w:rPr>
  </w:style>
  <w:style w:type="character" w:customStyle="1" w:styleId="13">
    <w:name w:val="批注框文本 Char"/>
    <w:basedOn w:val="7"/>
    <w:link w:val="4"/>
    <w:qFormat/>
    <w:locked/>
    <w:uiPriority w:val="99"/>
    <w:rPr>
      <w:rFonts w:ascii="Calibri" w:hAnsi="Calibri" w:eastAsia="宋体" w:cs="Calibri"/>
      <w:kern w:val="2"/>
      <w:sz w:val="18"/>
      <w:szCs w:val="18"/>
    </w:rPr>
  </w:style>
  <w:style w:type="character" w:customStyle="1" w:styleId="14">
    <w:name w:val="页脚 Char"/>
    <w:basedOn w:val="7"/>
    <w:link w:val="5"/>
    <w:semiHidden/>
    <w:uiPriority w:val="99"/>
    <w:rPr>
      <w:rFonts w:ascii="Calibri" w:hAnsi="Calibri" w:cs="Calibri"/>
      <w:sz w:val="18"/>
      <w:szCs w:val="18"/>
    </w:rPr>
  </w:style>
  <w:style w:type="character" w:customStyle="1" w:styleId="15">
    <w:name w:val="页眉 Char"/>
    <w:basedOn w:val="7"/>
    <w:link w:val="6"/>
    <w:semiHidden/>
    <w:qFormat/>
    <w:uiPriority w:val="99"/>
    <w:rPr>
      <w:rFonts w:ascii="Calibri" w:hAnsi="Calibri" w:cs="Calibri"/>
      <w:sz w:val="18"/>
      <w:szCs w:val="18"/>
    </w:rPr>
  </w:style>
  <w:style w:type="character" w:customStyle="1" w:styleId="16">
    <w:name w:val="日期 Char"/>
    <w:basedOn w:val="7"/>
    <w:link w:val="3"/>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391</Words>
  <Characters>2231</Characters>
  <Lines>18</Lines>
  <Paragraphs>5</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2024-01-02T11:25:00Z</dcterms:created>
  <dc:creator>lhm</dc:creator>
  <cp:lastModifiedBy>项逸伟</cp:lastModifiedBy>
  <cp:lastPrinted>2019-12-23T16:38:00Z</cp:lastPrinted>
  <dcterms:modified xsi:type="dcterms:W3CDTF">2024-01-16T08:55:50Z</dcterms:modified>
  <dc:title>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C44B8F784BD440C2ADCE968AA88A1884</vt:lpwstr>
  </property>
</Properties>
</file>