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66" w:rsidRPr="00511E66" w:rsidRDefault="00511E66" w:rsidP="00511E66">
      <w:pPr>
        <w:widowControl/>
        <w:spacing w:line="480" w:lineRule="atLeast"/>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br/>
      </w:r>
      <w:r w:rsidRPr="00511E66">
        <w:rPr>
          <w:rFonts w:ascii="Arial" w:eastAsia="宋体" w:hAnsi="Arial" w:cs="Arial"/>
          <w:color w:val="000000"/>
          <w:kern w:val="0"/>
          <w:sz w:val="24"/>
          <w:szCs w:val="24"/>
        </w:rPr>
        <w:t>区政府各部门、各街道办事处、各直属单位：</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《下城区政府投资项目投资控制管理办法》已经区政府同意，现印发给你们，请认真遵照执行。</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right"/>
        <w:rPr>
          <w:rFonts w:ascii="Arial" w:eastAsia="宋体" w:hAnsi="Arial" w:cs="Arial"/>
          <w:color w:val="000000"/>
          <w:kern w:val="0"/>
          <w:sz w:val="24"/>
          <w:szCs w:val="24"/>
        </w:rPr>
      </w:pPr>
      <w:r w:rsidRPr="00511E66">
        <w:rPr>
          <w:rFonts w:ascii="Arial" w:eastAsia="宋体" w:hAnsi="Arial" w:cs="Arial"/>
          <w:color w:val="000000"/>
          <w:kern w:val="0"/>
          <w:sz w:val="24"/>
          <w:szCs w:val="24"/>
        </w:rPr>
        <w:t>杭州市下城区人民政府办公室</w:t>
      </w:r>
    </w:p>
    <w:p w:rsidR="00511E66" w:rsidRPr="00511E66" w:rsidRDefault="00511E66" w:rsidP="00511E66">
      <w:pPr>
        <w:widowControl/>
        <w:spacing w:line="480" w:lineRule="atLeast"/>
        <w:ind w:firstLine="480"/>
        <w:jc w:val="right"/>
        <w:rPr>
          <w:rFonts w:ascii="Arial" w:eastAsia="宋体" w:hAnsi="Arial" w:cs="Arial"/>
          <w:color w:val="000000"/>
          <w:kern w:val="0"/>
          <w:sz w:val="24"/>
          <w:szCs w:val="24"/>
        </w:rPr>
      </w:pPr>
      <w:r w:rsidRPr="00511E66">
        <w:rPr>
          <w:rFonts w:ascii="Arial" w:eastAsia="宋体" w:hAnsi="Arial" w:cs="Arial"/>
          <w:color w:val="000000"/>
          <w:kern w:val="0"/>
          <w:sz w:val="24"/>
          <w:szCs w:val="24"/>
        </w:rPr>
        <w:t>2019</w:t>
      </w:r>
      <w:r w:rsidRPr="00511E66">
        <w:rPr>
          <w:rFonts w:ascii="Arial" w:eastAsia="宋体" w:hAnsi="Arial" w:cs="Arial"/>
          <w:color w:val="000000"/>
          <w:kern w:val="0"/>
          <w:sz w:val="24"/>
          <w:szCs w:val="24"/>
        </w:rPr>
        <w:t>年</w:t>
      </w:r>
      <w:r w:rsidRPr="00511E66">
        <w:rPr>
          <w:rFonts w:ascii="Arial" w:eastAsia="宋体" w:hAnsi="Arial" w:cs="Arial"/>
          <w:color w:val="000000"/>
          <w:kern w:val="0"/>
          <w:sz w:val="24"/>
          <w:szCs w:val="24"/>
        </w:rPr>
        <w:t>11</w:t>
      </w:r>
      <w:r w:rsidRPr="00511E66">
        <w:rPr>
          <w:rFonts w:ascii="Arial" w:eastAsia="宋体" w:hAnsi="Arial" w:cs="Arial"/>
          <w:color w:val="000000"/>
          <w:kern w:val="0"/>
          <w:sz w:val="24"/>
          <w:szCs w:val="24"/>
        </w:rPr>
        <w:t>月</w:t>
      </w:r>
      <w:r w:rsidRPr="00511E66">
        <w:rPr>
          <w:rFonts w:ascii="Arial" w:eastAsia="宋体" w:hAnsi="Arial" w:cs="Arial"/>
          <w:color w:val="000000"/>
          <w:kern w:val="0"/>
          <w:sz w:val="24"/>
          <w:szCs w:val="24"/>
        </w:rPr>
        <w:t>15</w:t>
      </w:r>
      <w:r w:rsidRPr="00511E66">
        <w:rPr>
          <w:rFonts w:ascii="Arial" w:eastAsia="宋体" w:hAnsi="Arial" w:cs="Arial"/>
          <w:color w:val="000000"/>
          <w:kern w:val="0"/>
          <w:sz w:val="24"/>
          <w:szCs w:val="24"/>
        </w:rPr>
        <w:t>日</w:t>
      </w:r>
    </w:p>
    <w:p w:rsidR="00511E66" w:rsidRPr="00511E66" w:rsidRDefault="00511E66" w:rsidP="00511E66">
      <w:pPr>
        <w:widowControl/>
        <w:spacing w:before="100" w:beforeAutospacing="1" w:after="100" w:afterAutospacing="1"/>
        <w:jc w:val="left"/>
        <w:outlineLvl w:val="1"/>
        <w:rPr>
          <w:rFonts w:ascii="Times New Roman" w:eastAsia="宋体" w:hAnsi="Times New Roman" w:cs="Times New Roman"/>
          <w:b/>
          <w:bCs/>
          <w:color w:val="000000"/>
          <w:kern w:val="0"/>
          <w:sz w:val="36"/>
          <w:szCs w:val="36"/>
        </w:rPr>
      </w:pPr>
    </w:p>
    <w:p w:rsidR="00511E66" w:rsidRPr="00511E66" w:rsidRDefault="00511E66" w:rsidP="00511E66">
      <w:pPr>
        <w:widowControl/>
        <w:spacing w:line="480" w:lineRule="atLeast"/>
        <w:ind w:firstLine="480"/>
        <w:jc w:val="center"/>
        <w:rPr>
          <w:rFonts w:ascii="Arial" w:eastAsia="宋体" w:hAnsi="Arial" w:cs="Arial"/>
          <w:color w:val="000000"/>
          <w:kern w:val="0"/>
          <w:sz w:val="24"/>
          <w:szCs w:val="24"/>
        </w:rPr>
      </w:pPr>
      <w:r w:rsidRPr="00511E66">
        <w:rPr>
          <w:rFonts w:ascii="Arial" w:eastAsia="宋体" w:hAnsi="Arial" w:cs="Arial"/>
          <w:color w:val="000000"/>
          <w:kern w:val="0"/>
          <w:sz w:val="24"/>
          <w:szCs w:val="24"/>
        </w:rPr>
        <w:t>下城区政府投资项目投资控制管理办法</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第一章</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总</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则</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第一条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为加强我区政府投资项目建设成本控制，提高资金综合效益，科学安排政府投资，强化各建设单位投资控制管理职责，根据《政府投资条例》、《浙江省政府投资项目管理办法》等相关规定，结合我区实际，制定本管理办法。</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第二条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本办法所称的政府投资项目，是指区属单位为建设主体，在辖区范围内使用区级预算安排的资金进行固定资产投资建设活动，包括新建、扩建、改建、技术改造等。</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第三条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项目建设单位具体负责项目建设全过程的投资控制，</w:t>
      </w:r>
      <w:proofErr w:type="gramStart"/>
      <w:r w:rsidRPr="00511E66">
        <w:rPr>
          <w:rFonts w:ascii="Arial" w:eastAsia="宋体" w:hAnsi="Arial" w:cs="Arial"/>
          <w:color w:val="000000"/>
          <w:kern w:val="0"/>
          <w:sz w:val="24"/>
          <w:szCs w:val="24"/>
        </w:rPr>
        <w:t>区发改经</w:t>
      </w:r>
      <w:proofErr w:type="gramEnd"/>
      <w:r w:rsidRPr="00511E66">
        <w:rPr>
          <w:rFonts w:ascii="Arial" w:eastAsia="宋体" w:hAnsi="Arial" w:cs="Arial"/>
          <w:color w:val="000000"/>
          <w:kern w:val="0"/>
          <w:sz w:val="24"/>
          <w:szCs w:val="24"/>
        </w:rPr>
        <w:t>信、财政、审计、住建、监察等有关部门按各自职能，对项目建设投资控制进行监督管理。</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第四条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投资控制的重点环节包括：投资估算、投资（设计）概算、项目预算、工程变更、工程价款结算和竣工财务决算。</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第五条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经区政府明确的区重大项目推行全过程跟踪审计，由区审计局根据项目规模、重要程度立项实施，未经区审计局立项的项目由建设单位委托具备相关资质的审计中介机构实施跟踪审计。</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lastRenderedPageBreak/>
        <w:t>第六条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审计部门依法全面履行审计监督职责，投资审计需涵盖重大政策贯彻落实、工程项目建设程序、工程项目建设财务、招标投标、工程质量管理、材料设备管理、建设用地和征地拆迁、环境保护和水土保持、工程结算、公共投资绩效审计等。</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第二章</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投资估算控制</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第七条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列入区政府投资项目计划的项目，应当明确项目名称、建设内容及规模、建设工期、项目总投资、年度投资额及资金来源等事项。政府投资年度计划应当和年度本级预算相衔接，计划中的项目投资估算为可</w:t>
      </w:r>
      <w:proofErr w:type="gramStart"/>
      <w:r w:rsidRPr="00511E66">
        <w:rPr>
          <w:rFonts w:ascii="Arial" w:eastAsia="宋体" w:hAnsi="Arial" w:cs="Arial"/>
          <w:color w:val="000000"/>
          <w:kern w:val="0"/>
          <w:sz w:val="24"/>
          <w:szCs w:val="24"/>
        </w:rPr>
        <w:t>研</w:t>
      </w:r>
      <w:proofErr w:type="gramEnd"/>
      <w:r w:rsidRPr="00511E66">
        <w:rPr>
          <w:rFonts w:ascii="Arial" w:eastAsia="宋体" w:hAnsi="Arial" w:cs="Arial"/>
          <w:color w:val="000000"/>
          <w:kern w:val="0"/>
          <w:sz w:val="24"/>
          <w:szCs w:val="24"/>
        </w:rPr>
        <w:t>估算，或按项目规划的建设规模和核定的单位造价进行测算预估。</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第八条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凡新建（改扩建）项目，建设单位应委托有资质的咨询设计单位编制工程可行性研究报告，并编制投资估算及明细表。总投资在</w:t>
      </w:r>
      <w:r w:rsidRPr="00511E66">
        <w:rPr>
          <w:rFonts w:ascii="Arial" w:eastAsia="宋体" w:hAnsi="Arial" w:cs="Arial"/>
          <w:color w:val="000000"/>
          <w:kern w:val="0"/>
          <w:sz w:val="24"/>
          <w:szCs w:val="24"/>
        </w:rPr>
        <w:t>2</w:t>
      </w:r>
      <w:r w:rsidRPr="00511E66">
        <w:rPr>
          <w:rFonts w:ascii="Arial" w:eastAsia="宋体" w:hAnsi="Arial" w:cs="Arial"/>
          <w:color w:val="000000"/>
          <w:kern w:val="0"/>
          <w:sz w:val="24"/>
          <w:szCs w:val="24"/>
        </w:rPr>
        <w:t>亿元以上项目由</w:t>
      </w:r>
      <w:proofErr w:type="gramStart"/>
      <w:r w:rsidRPr="00511E66">
        <w:rPr>
          <w:rFonts w:ascii="Arial" w:eastAsia="宋体" w:hAnsi="Arial" w:cs="Arial"/>
          <w:color w:val="000000"/>
          <w:kern w:val="0"/>
          <w:sz w:val="24"/>
          <w:szCs w:val="24"/>
        </w:rPr>
        <w:t>区发改经</w:t>
      </w:r>
      <w:proofErr w:type="gramEnd"/>
      <w:r w:rsidRPr="00511E66">
        <w:rPr>
          <w:rFonts w:ascii="Arial" w:eastAsia="宋体" w:hAnsi="Arial" w:cs="Arial"/>
          <w:color w:val="000000"/>
          <w:kern w:val="0"/>
          <w:sz w:val="24"/>
          <w:szCs w:val="24"/>
        </w:rPr>
        <w:t>信局委托具备相应资质的工程咨询机构进行可</w:t>
      </w:r>
      <w:proofErr w:type="gramStart"/>
      <w:r w:rsidRPr="00511E66">
        <w:rPr>
          <w:rFonts w:ascii="Arial" w:eastAsia="宋体" w:hAnsi="Arial" w:cs="Arial"/>
          <w:color w:val="000000"/>
          <w:kern w:val="0"/>
          <w:sz w:val="24"/>
          <w:szCs w:val="24"/>
        </w:rPr>
        <w:t>研</w:t>
      </w:r>
      <w:proofErr w:type="gramEnd"/>
      <w:r w:rsidRPr="00511E66">
        <w:rPr>
          <w:rFonts w:ascii="Arial" w:eastAsia="宋体" w:hAnsi="Arial" w:cs="Arial"/>
          <w:color w:val="000000"/>
          <w:kern w:val="0"/>
          <w:sz w:val="24"/>
          <w:szCs w:val="24"/>
        </w:rPr>
        <w:t>报告的评估，评估费用由</w:t>
      </w:r>
      <w:proofErr w:type="gramStart"/>
      <w:r w:rsidRPr="00511E66">
        <w:rPr>
          <w:rFonts w:ascii="Arial" w:eastAsia="宋体" w:hAnsi="Arial" w:cs="Arial"/>
          <w:color w:val="000000"/>
          <w:kern w:val="0"/>
          <w:sz w:val="24"/>
          <w:szCs w:val="24"/>
        </w:rPr>
        <w:t>区发改经</w:t>
      </w:r>
      <w:proofErr w:type="gramEnd"/>
      <w:r w:rsidRPr="00511E66">
        <w:rPr>
          <w:rFonts w:ascii="Arial" w:eastAsia="宋体" w:hAnsi="Arial" w:cs="Arial"/>
          <w:color w:val="000000"/>
          <w:kern w:val="0"/>
          <w:sz w:val="24"/>
          <w:szCs w:val="24"/>
        </w:rPr>
        <w:t>信局列入年度财政预算进行支付。</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第九条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初步设计提出的投资（设计）概算超过经批准的政府投资项目计划或可行性研究报告提出的投资估算</w:t>
      </w:r>
      <w:r w:rsidRPr="00511E66">
        <w:rPr>
          <w:rFonts w:ascii="Arial" w:eastAsia="宋体" w:hAnsi="Arial" w:cs="Arial"/>
          <w:color w:val="000000"/>
          <w:kern w:val="0"/>
          <w:sz w:val="24"/>
          <w:szCs w:val="24"/>
        </w:rPr>
        <w:t>10%</w:t>
      </w:r>
      <w:r w:rsidRPr="00511E66">
        <w:rPr>
          <w:rFonts w:ascii="Arial" w:eastAsia="宋体" w:hAnsi="Arial" w:cs="Arial"/>
          <w:color w:val="000000"/>
          <w:kern w:val="0"/>
          <w:sz w:val="24"/>
          <w:szCs w:val="24"/>
        </w:rPr>
        <w:t>或差额</w:t>
      </w:r>
      <w:r w:rsidRPr="00511E66">
        <w:rPr>
          <w:rFonts w:ascii="Arial" w:eastAsia="宋体" w:hAnsi="Arial" w:cs="Arial"/>
          <w:color w:val="000000"/>
          <w:kern w:val="0"/>
          <w:sz w:val="24"/>
          <w:szCs w:val="24"/>
        </w:rPr>
        <w:t>2000</w:t>
      </w:r>
      <w:r w:rsidRPr="00511E66">
        <w:rPr>
          <w:rFonts w:ascii="Arial" w:eastAsia="宋体" w:hAnsi="Arial" w:cs="Arial"/>
          <w:color w:val="000000"/>
          <w:kern w:val="0"/>
          <w:sz w:val="24"/>
          <w:szCs w:val="24"/>
        </w:rPr>
        <w:t>万元，应当报</w:t>
      </w:r>
      <w:proofErr w:type="gramStart"/>
      <w:r w:rsidRPr="00511E66">
        <w:rPr>
          <w:rFonts w:ascii="Arial" w:eastAsia="宋体" w:hAnsi="Arial" w:cs="Arial"/>
          <w:color w:val="000000"/>
          <w:kern w:val="0"/>
          <w:sz w:val="24"/>
          <w:szCs w:val="24"/>
        </w:rPr>
        <w:t>区发改经</w:t>
      </w:r>
      <w:proofErr w:type="gramEnd"/>
      <w:r w:rsidRPr="00511E66">
        <w:rPr>
          <w:rFonts w:ascii="Arial" w:eastAsia="宋体" w:hAnsi="Arial" w:cs="Arial"/>
          <w:color w:val="000000"/>
          <w:kern w:val="0"/>
          <w:sz w:val="24"/>
          <w:szCs w:val="24"/>
        </w:rPr>
        <w:t>信局，</w:t>
      </w:r>
      <w:proofErr w:type="gramStart"/>
      <w:r w:rsidRPr="00511E66">
        <w:rPr>
          <w:rFonts w:ascii="Arial" w:eastAsia="宋体" w:hAnsi="Arial" w:cs="Arial"/>
          <w:color w:val="000000"/>
          <w:kern w:val="0"/>
          <w:sz w:val="24"/>
          <w:szCs w:val="24"/>
        </w:rPr>
        <w:t>并需区政府</w:t>
      </w:r>
      <w:proofErr w:type="gramEnd"/>
      <w:r w:rsidRPr="00511E66">
        <w:rPr>
          <w:rFonts w:ascii="Arial" w:eastAsia="宋体" w:hAnsi="Arial" w:cs="Arial"/>
          <w:color w:val="000000"/>
          <w:kern w:val="0"/>
          <w:sz w:val="24"/>
          <w:szCs w:val="24"/>
        </w:rPr>
        <w:t>相关会议确定。</w:t>
      </w:r>
      <w:proofErr w:type="gramStart"/>
      <w:r w:rsidRPr="00511E66">
        <w:rPr>
          <w:rFonts w:ascii="Arial" w:eastAsia="宋体" w:hAnsi="Arial" w:cs="Arial"/>
          <w:color w:val="000000"/>
          <w:kern w:val="0"/>
          <w:sz w:val="24"/>
          <w:szCs w:val="24"/>
        </w:rPr>
        <w:t>区发改经</w:t>
      </w:r>
      <w:proofErr w:type="gramEnd"/>
      <w:r w:rsidRPr="00511E66">
        <w:rPr>
          <w:rFonts w:ascii="Arial" w:eastAsia="宋体" w:hAnsi="Arial" w:cs="Arial"/>
          <w:color w:val="000000"/>
          <w:kern w:val="0"/>
          <w:sz w:val="24"/>
          <w:szCs w:val="24"/>
        </w:rPr>
        <w:t>信局可以要求项目单位重新调整报批可行性研究报告。</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第三章</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投资（设计）概算控制</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第十条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建设单位根据政府投资项目计划，按规定委托有资质的设计单位编制初步设计和投资概算。投资概算应当遵循估算控制概算的原则，进行限额设计。</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第十一条</w:t>
      </w:r>
      <w:r w:rsidRPr="00511E66">
        <w:rPr>
          <w:rFonts w:ascii="Arial" w:eastAsia="宋体" w:hAnsi="Arial" w:cs="Arial"/>
          <w:color w:val="000000"/>
          <w:kern w:val="0"/>
          <w:sz w:val="24"/>
          <w:szCs w:val="24"/>
        </w:rPr>
        <w:t> </w:t>
      </w:r>
      <w:proofErr w:type="gramStart"/>
      <w:r w:rsidRPr="00511E66">
        <w:rPr>
          <w:rFonts w:ascii="Arial" w:eastAsia="宋体" w:hAnsi="Arial" w:cs="Arial"/>
          <w:color w:val="000000"/>
          <w:kern w:val="0"/>
          <w:sz w:val="24"/>
          <w:szCs w:val="24"/>
        </w:rPr>
        <w:t>区发改经</w:t>
      </w:r>
      <w:proofErr w:type="gramEnd"/>
      <w:r w:rsidRPr="00511E66">
        <w:rPr>
          <w:rFonts w:ascii="Arial" w:eastAsia="宋体" w:hAnsi="Arial" w:cs="Arial"/>
          <w:color w:val="000000"/>
          <w:kern w:val="0"/>
          <w:sz w:val="24"/>
          <w:szCs w:val="24"/>
        </w:rPr>
        <w:t>信局负责政府投资社会事业类项目的概算审查，区住建局负责其他政府投资项目的概算审查。审批部门应委托符合相应资质要求的中介机构对项目概算进行审查，并依据概算审查报告进行复核和批复。评估费用由相应审批部门列入年度财政预算进行支付。</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lastRenderedPageBreak/>
        <w:t>第十二条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经核定的投资（设计）概算是控制政府投资项目总投资的依据。概算批复后不予调整，但出现以下情况的，项目单位应当提出调整方案及资金来源，报原审批部门核定，并报区政府相关会议明确。</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1</w:t>
      </w:r>
      <w:r w:rsidRPr="00511E66">
        <w:rPr>
          <w:rFonts w:ascii="Arial" w:eastAsia="宋体" w:hAnsi="Arial" w:cs="Arial"/>
          <w:color w:val="000000"/>
          <w:kern w:val="0"/>
          <w:sz w:val="24"/>
          <w:szCs w:val="24"/>
        </w:rPr>
        <w:t>、上级政策调整或经区政府认定的规划设计方案调整；</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2</w:t>
      </w:r>
      <w:r w:rsidRPr="00511E66">
        <w:rPr>
          <w:rFonts w:ascii="Arial" w:eastAsia="宋体" w:hAnsi="Arial" w:cs="Arial"/>
          <w:color w:val="000000"/>
          <w:kern w:val="0"/>
          <w:sz w:val="24"/>
          <w:szCs w:val="24"/>
        </w:rPr>
        <w:t>、价格上涨；</w:t>
      </w:r>
      <w:r w:rsidRPr="00511E66">
        <w:rPr>
          <w:rFonts w:ascii="Arial" w:eastAsia="宋体" w:hAnsi="Arial" w:cs="Arial"/>
          <w:color w:val="000000"/>
          <w:kern w:val="0"/>
          <w:sz w:val="24"/>
          <w:szCs w:val="24"/>
        </w:rPr>
        <w:t> </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3</w:t>
      </w:r>
      <w:r w:rsidRPr="00511E66">
        <w:rPr>
          <w:rFonts w:ascii="Arial" w:eastAsia="宋体" w:hAnsi="Arial" w:cs="Arial"/>
          <w:color w:val="000000"/>
          <w:kern w:val="0"/>
          <w:sz w:val="24"/>
          <w:szCs w:val="24"/>
        </w:rPr>
        <w:t>、地质条件发生重大变化。</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第四章</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项目预算控制</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第十三条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设计单位应当严格按批准的初步设计和概算开展施工图设计，施工图预算、单项和单位工程招标控制价不得超过批准的投资（设计）概算。</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第十四条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建设单位应委托具有相应资质的工程造价咨询机构（招标代理机构）编制招标控制价。项目工程造价在</w:t>
      </w:r>
      <w:r w:rsidRPr="00511E66">
        <w:rPr>
          <w:rFonts w:ascii="Arial" w:eastAsia="宋体" w:hAnsi="Arial" w:cs="Arial"/>
          <w:color w:val="000000"/>
          <w:kern w:val="0"/>
          <w:sz w:val="24"/>
          <w:szCs w:val="24"/>
        </w:rPr>
        <w:t>400</w:t>
      </w:r>
      <w:r w:rsidRPr="00511E66">
        <w:rPr>
          <w:rFonts w:ascii="Arial" w:eastAsia="宋体" w:hAnsi="Arial" w:cs="Arial"/>
          <w:color w:val="000000"/>
          <w:kern w:val="0"/>
          <w:sz w:val="24"/>
          <w:szCs w:val="24"/>
        </w:rPr>
        <w:t>万元（含）以上的建设项目，由区财政局委托第三方审计中介机构对招标控制价协助审查，审查意见报区财政局审核。</w:t>
      </w:r>
      <w:r w:rsidRPr="00511E66">
        <w:rPr>
          <w:rFonts w:ascii="Arial" w:eastAsia="宋体" w:hAnsi="Arial" w:cs="Arial"/>
          <w:color w:val="000000"/>
          <w:kern w:val="0"/>
          <w:sz w:val="24"/>
          <w:szCs w:val="24"/>
        </w:rPr>
        <w:t>400</w:t>
      </w:r>
      <w:r w:rsidRPr="00511E66">
        <w:rPr>
          <w:rFonts w:ascii="Arial" w:eastAsia="宋体" w:hAnsi="Arial" w:cs="Arial"/>
          <w:color w:val="000000"/>
          <w:kern w:val="0"/>
          <w:sz w:val="24"/>
          <w:szCs w:val="24"/>
        </w:rPr>
        <w:t>万元以下的建设项目，由建设单位委托第三方审计中介机构对招标控制价协助审查，审查意见由建设单位审核，报区财政局备案。</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第十五条</w:t>
      </w:r>
      <w:r w:rsidRPr="00511E66">
        <w:rPr>
          <w:rFonts w:ascii="Arial" w:eastAsia="宋体" w:hAnsi="Arial" w:cs="Arial"/>
          <w:color w:val="000000"/>
          <w:kern w:val="0"/>
          <w:sz w:val="24"/>
          <w:szCs w:val="24"/>
        </w:rPr>
        <w:t> EPC</w:t>
      </w:r>
      <w:r w:rsidRPr="00511E66">
        <w:rPr>
          <w:rFonts w:ascii="Arial" w:eastAsia="宋体" w:hAnsi="Arial" w:cs="Arial"/>
          <w:color w:val="000000"/>
          <w:kern w:val="0"/>
          <w:sz w:val="24"/>
          <w:szCs w:val="24"/>
        </w:rPr>
        <w:t>项目由招标人（建设单位）依据经审批同意的方案设计（或初步设计）编制招标控制价，相关概算审批部门负责严格审核概算投资，区审计局履行审计监督职能。</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第五章</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工程变更控制</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第十六条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工程</w:t>
      </w:r>
      <w:proofErr w:type="gramStart"/>
      <w:r w:rsidRPr="00511E66">
        <w:rPr>
          <w:rFonts w:ascii="Arial" w:eastAsia="宋体" w:hAnsi="Arial" w:cs="Arial"/>
          <w:color w:val="000000"/>
          <w:kern w:val="0"/>
          <w:sz w:val="24"/>
          <w:szCs w:val="24"/>
        </w:rPr>
        <w:t>变更分重大</w:t>
      </w:r>
      <w:proofErr w:type="gramEnd"/>
      <w:r w:rsidRPr="00511E66">
        <w:rPr>
          <w:rFonts w:ascii="Arial" w:eastAsia="宋体" w:hAnsi="Arial" w:cs="Arial"/>
          <w:color w:val="000000"/>
          <w:kern w:val="0"/>
          <w:sz w:val="24"/>
          <w:szCs w:val="24"/>
        </w:rPr>
        <w:t>变更与非重大变更，有下列条件之一的为重大变更：</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（一）</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工程变更后造价增加额累计超过工程合同价</w:t>
      </w:r>
      <w:r w:rsidRPr="00511E66">
        <w:rPr>
          <w:rFonts w:ascii="Arial" w:eastAsia="宋体" w:hAnsi="Arial" w:cs="Arial"/>
          <w:color w:val="000000"/>
          <w:kern w:val="0"/>
          <w:sz w:val="24"/>
          <w:szCs w:val="24"/>
        </w:rPr>
        <w:t>30%</w:t>
      </w:r>
      <w:r w:rsidRPr="00511E66">
        <w:rPr>
          <w:rFonts w:ascii="Arial" w:eastAsia="宋体" w:hAnsi="Arial" w:cs="Arial"/>
          <w:color w:val="000000"/>
          <w:kern w:val="0"/>
          <w:sz w:val="24"/>
          <w:szCs w:val="24"/>
        </w:rPr>
        <w:t>（含）或</w:t>
      </w:r>
      <w:r w:rsidRPr="00511E66">
        <w:rPr>
          <w:rFonts w:ascii="Arial" w:eastAsia="宋体" w:hAnsi="Arial" w:cs="Arial"/>
          <w:color w:val="000000"/>
          <w:kern w:val="0"/>
          <w:sz w:val="24"/>
          <w:szCs w:val="24"/>
        </w:rPr>
        <w:t>2000</w:t>
      </w:r>
      <w:r w:rsidRPr="00511E66">
        <w:rPr>
          <w:rFonts w:ascii="Arial" w:eastAsia="宋体" w:hAnsi="Arial" w:cs="Arial"/>
          <w:color w:val="000000"/>
          <w:kern w:val="0"/>
          <w:sz w:val="24"/>
          <w:szCs w:val="24"/>
        </w:rPr>
        <w:t>万元。</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（二）</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合同金额</w:t>
      </w:r>
      <w:r w:rsidRPr="00511E66">
        <w:rPr>
          <w:rFonts w:ascii="Arial" w:eastAsia="宋体" w:hAnsi="Arial" w:cs="Arial"/>
          <w:color w:val="000000"/>
          <w:kern w:val="0"/>
          <w:sz w:val="24"/>
          <w:szCs w:val="24"/>
        </w:rPr>
        <w:t>1000</w:t>
      </w:r>
      <w:r w:rsidRPr="00511E66">
        <w:rPr>
          <w:rFonts w:ascii="Arial" w:eastAsia="宋体" w:hAnsi="Arial" w:cs="Arial"/>
          <w:color w:val="000000"/>
          <w:kern w:val="0"/>
          <w:sz w:val="24"/>
          <w:szCs w:val="24"/>
        </w:rPr>
        <w:t>万元（含）以上工程，其单项</w:t>
      </w:r>
      <w:proofErr w:type="gramStart"/>
      <w:r w:rsidRPr="00511E66">
        <w:rPr>
          <w:rFonts w:ascii="Arial" w:eastAsia="宋体" w:hAnsi="Arial" w:cs="Arial"/>
          <w:color w:val="000000"/>
          <w:kern w:val="0"/>
          <w:sz w:val="24"/>
          <w:szCs w:val="24"/>
        </w:rPr>
        <w:t>变更按</w:t>
      </w:r>
      <w:proofErr w:type="gramEnd"/>
      <w:r w:rsidRPr="00511E66">
        <w:rPr>
          <w:rFonts w:ascii="Arial" w:eastAsia="宋体" w:hAnsi="Arial" w:cs="Arial"/>
          <w:color w:val="000000"/>
          <w:kern w:val="0"/>
          <w:sz w:val="24"/>
          <w:szCs w:val="24"/>
        </w:rPr>
        <w:t>合同口径计算的造价增减额超过合同价</w:t>
      </w:r>
      <w:r w:rsidRPr="00511E66">
        <w:rPr>
          <w:rFonts w:ascii="Arial" w:eastAsia="宋体" w:hAnsi="Arial" w:cs="Arial"/>
          <w:color w:val="000000"/>
          <w:kern w:val="0"/>
          <w:sz w:val="24"/>
          <w:szCs w:val="24"/>
        </w:rPr>
        <w:t>50</w:t>
      </w:r>
      <w:r w:rsidRPr="00511E66">
        <w:rPr>
          <w:rFonts w:ascii="Arial" w:eastAsia="宋体" w:hAnsi="Arial" w:cs="Arial"/>
          <w:color w:val="000000"/>
          <w:kern w:val="0"/>
          <w:sz w:val="24"/>
          <w:szCs w:val="24"/>
        </w:rPr>
        <w:t>万元（含）以上；合同金额</w:t>
      </w:r>
      <w:r w:rsidRPr="00511E66">
        <w:rPr>
          <w:rFonts w:ascii="Arial" w:eastAsia="宋体" w:hAnsi="Arial" w:cs="Arial"/>
          <w:color w:val="000000"/>
          <w:kern w:val="0"/>
          <w:sz w:val="24"/>
          <w:szCs w:val="24"/>
        </w:rPr>
        <w:t>1000</w:t>
      </w:r>
      <w:r w:rsidRPr="00511E66">
        <w:rPr>
          <w:rFonts w:ascii="Arial" w:eastAsia="宋体" w:hAnsi="Arial" w:cs="Arial"/>
          <w:color w:val="000000"/>
          <w:kern w:val="0"/>
          <w:sz w:val="24"/>
          <w:szCs w:val="24"/>
        </w:rPr>
        <w:t>万元以内工程，其单项</w:t>
      </w:r>
      <w:proofErr w:type="gramStart"/>
      <w:r w:rsidRPr="00511E66">
        <w:rPr>
          <w:rFonts w:ascii="Arial" w:eastAsia="宋体" w:hAnsi="Arial" w:cs="Arial"/>
          <w:color w:val="000000"/>
          <w:kern w:val="0"/>
          <w:sz w:val="24"/>
          <w:szCs w:val="24"/>
        </w:rPr>
        <w:t>变更按</w:t>
      </w:r>
      <w:proofErr w:type="gramEnd"/>
      <w:r w:rsidRPr="00511E66">
        <w:rPr>
          <w:rFonts w:ascii="Arial" w:eastAsia="宋体" w:hAnsi="Arial" w:cs="Arial"/>
          <w:color w:val="000000"/>
          <w:kern w:val="0"/>
          <w:sz w:val="24"/>
          <w:szCs w:val="24"/>
        </w:rPr>
        <w:t>合同口径计算的造价增减额超过合同价</w:t>
      </w:r>
      <w:r w:rsidRPr="00511E66">
        <w:rPr>
          <w:rFonts w:ascii="Arial" w:eastAsia="宋体" w:hAnsi="Arial" w:cs="Arial"/>
          <w:color w:val="000000"/>
          <w:kern w:val="0"/>
          <w:sz w:val="24"/>
          <w:szCs w:val="24"/>
        </w:rPr>
        <w:t>20</w:t>
      </w:r>
      <w:r w:rsidRPr="00511E66">
        <w:rPr>
          <w:rFonts w:ascii="Arial" w:eastAsia="宋体" w:hAnsi="Arial" w:cs="Arial"/>
          <w:color w:val="000000"/>
          <w:kern w:val="0"/>
          <w:sz w:val="24"/>
          <w:szCs w:val="24"/>
        </w:rPr>
        <w:t>万元（含）以上。</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lastRenderedPageBreak/>
        <w:t>第十七条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工程在实施过程中，凡重大工程变更，除十二条规定的情形外，其他一律不予重大变更。</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第十八条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工程重大变更申报与审批流程一般包括：</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（一）变更提出单位提交工程重大变更申请，填写工程变更报告单；</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（二）建设单位组织设计、施工、监理等相关单位进行初步技术分析和造价分析，各单位应在工程变更资料上签署明确意见；</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（三）建设单位内部相关部门审核，并由部门负责人签署明确意见，报单位分管领导和单位主要负责人签署意见；</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（四）建设单位报区住建局和区财政局，区住建局会同财政局进行审查，提出初步审查意见并报分管区领导。</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（五）区政府相关会议对审查意见进行研究审定，会议形成的纪要作为工程重大变更的审查依据。</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第十九条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对于非重大变更，项目建设单位应按照</w:t>
      </w:r>
      <w:r w:rsidRPr="00511E66">
        <w:rPr>
          <w:rFonts w:ascii="Arial" w:eastAsia="宋体" w:hAnsi="Arial" w:cs="Arial"/>
          <w:color w:val="000000"/>
          <w:kern w:val="0"/>
          <w:sz w:val="24"/>
          <w:szCs w:val="24"/>
        </w:rPr>
        <w:t>“</w:t>
      </w:r>
      <w:r w:rsidRPr="00511E66">
        <w:rPr>
          <w:rFonts w:ascii="Arial" w:eastAsia="宋体" w:hAnsi="Arial" w:cs="Arial"/>
          <w:color w:val="000000"/>
          <w:kern w:val="0"/>
          <w:sz w:val="24"/>
          <w:szCs w:val="24"/>
        </w:rPr>
        <w:t>先审查、后变更；先变更、后施工</w:t>
      </w:r>
      <w:r w:rsidRPr="00511E66">
        <w:rPr>
          <w:rFonts w:ascii="Arial" w:eastAsia="宋体" w:hAnsi="Arial" w:cs="Arial"/>
          <w:color w:val="000000"/>
          <w:kern w:val="0"/>
          <w:sz w:val="24"/>
          <w:szCs w:val="24"/>
        </w:rPr>
        <w:t>”</w:t>
      </w:r>
      <w:r w:rsidRPr="00511E66">
        <w:rPr>
          <w:rFonts w:ascii="Arial" w:eastAsia="宋体" w:hAnsi="Arial" w:cs="Arial"/>
          <w:color w:val="000000"/>
          <w:kern w:val="0"/>
          <w:sz w:val="24"/>
          <w:szCs w:val="24"/>
        </w:rPr>
        <w:t>的要求，负责工程变更的内部审核与报批工作，并报区财政局备案。对未经批准、备案，擅自变更并施工的，不予纳入工程价款结算和竣工决算。建设单位内部的工程变更申报与审批流程一般包括：</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（一）变更提出单位提交工程变更申请；</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（二）建设单位组织设计、施工、监理等相关单位进行初步技术分析和造价分析，各单位应在工程变更资料上签署明确意见；</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（三）建设单位根据相关内部审核制度分级审批，并由涉及的相关负责人签署明确意见，报单位分管领导或单位主要负责人签署意见；</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（四）</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有必要时应召集专门会议集体决策并形成会议纪要，会议纪要须由单位主要负责人确认。</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第六章</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工程价款结算和竣工财务决算控制</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第二十条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建设单位应加强对建设项目竣工财务决算的组织领导，按照合同约定或工程竣工验收合格之日起三个月内，组织专门人员，及时编制竣工后总的工程价款结算和竣工财务决算。</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lastRenderedPageBreak/>
        <w:t>（一）工程价款结算。政府投资项目工程价款结算应当按合同约定和工程价款结算程序办理</w:t>
      </w:r>
      <w:r w:rsidRPr="00511E66">
        <w:rPr>
          <w:rFonts w:ascii="Arial" w:eastAsia="宋体" w:hAnsi="Arial" w:cs="Arial"/>
          <w:color w:val="000000"/>
          <w:kern w:val="0"/>
          <w:sz w:val="24"/>
          <w:szCs w:val="24"/>
        </w:rPr>
        <w:t>,</w:t>
      </w:r>
      <w:r w:rsidRPr="00511E66">
        <w:rPr>
          <w:rFonts w:ascii="Arial" w:eastAsia="宋体" w:hAnsi="Arial" w:cs="Arial"/>
          <w:color w:val="000000"/>
          <w:kern w:val="0"/>
          <w:sz w:val="24"/>
          <w:szCs w:val="24"/>
        </w:rPr>
        <w:t>项目建设单位对工程价款结算可直接进行审核，也可以委托具有相应资质的工程造价机构进行审核。区财政部门会同审计部门加强对政府投资项目工程价款结算的指导和监督。必要时，财政部门和审计部门可对工程价款结算进行全面审查。</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二）竣工财务决算审计。对政府投入大、社会关注度高、涉及上级配比资金等重点项目，由项目建设单位向区审计局申请立项，列入年度审计计划的，由区审计局负责审计；未列入审计计划的，建设单位审计结果需报区审计局备案。区财政局根据审计结论进行审查批复。</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第二十一条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建设单位与施工单位应就审计报送资料的真实性</w:t>
      </w:r>
      <w:proofErr w:type="gramStart"/>
      <w:r w:rsidRPr="00511E66">
        <w:rPr>
          <w:rFonts w:ascii="Arial" w:eastAsia="宋体" w:hAnsi="Arial" w:cs="Arial"/>
          <w:color w:val="000000"/>
          <w:kern w:val="0"/>
          <w:sz w:val="24"/>
          <w:szCs w:val="24"/>
        </w:rPr>
        <w:t>作出</w:t>
      </w:r>
      <w:proofErr w:type="gramEnd"/>
      <w:r w:rsidRPr="00511E66">
        <w:rPr>
          <w:rFonts w:ascii="Arial" w:eastAsia="宋体" w:hAnsi="Arial" w:cs="Arial"/>
          <w:color w:val="000000"/>
          <w:kern w:val="0"/>
          <w:sz w:val="24"/>
          <w:szCs w:val="24"/>
        </w:rPr>
        <w:t>事前书面约定。</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第二十二条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工资性工程款必须支付</w:t>
      </w:r>
      <w:proofErr w:type="gramStart"/>
      <w:r w:rsidRPr="00511E66">
        <w:rPr>
          <w:rFonts w:ascii="Arial" w:eastAsia="宋体" w:hAnsi="Arial" w:cs="Arial"/>
          <w:color w:val="000000"/>
          <w:kern w:val="0"/>
          <w:sz w:val="24"/>
          <w:szCs w:val="24"/>
        </w:rPr>
        <w:t>至施工</w:t>
      </w:r>
      <w:proofErr w:type="gramEnd"/>
      <w:r w:rsidRPr="00511E66">
        <w:rPr>
          <w:rFonts w:ascii="Arial" w:eastAsia="宋体" w:hAnsi="Arial" w:cs="Arial"/>
          <w:color w:val="000000"/>
          <w:kern w:val="0"/>
          <w:sz w:val="24"/>
          <w:szCs w:val="24"/>
        </w:rPr>
        <w:t>总承包单位为其承建的项目单独设立的</w:t>
      </w:r>
      <w:r w:rsidRPr="00511E66">
        <w:rPr>
          <w:rFonts w:ascii="Arial" w:eastAsia="宋体" w:hAnsi="Arial" w:cs="Arial"/>
          <w:color w:val="000000"/>
          <w:kern w:val="0"/>
          <w:sz w:val="24"/>
          <w:szCs w:val="24"/>
        </w:rPr>
        <w:t>“</w:t>
      </w:r>
      <w:r w:rsidRPr="00511E66">
        <w:rPr>
          <w:rFonts w:ascii="Arial" w:eastAsia="宋体" w:hAnsi="Arial" w:cs="Arial"/>
          <w:color w:val="000000"/>
          <w:kern w:val="0"/>
          <w:sz w:val="24"/>
          <w:szCs w:val="24"/>
        </w:rPr>
        <w:t>农民工工资专用账户</w:t>
      </w:r>
      <w:r w:rsidRPr="00511E66">
        <w:rPr>
          <w:rFonts w:ascii="Arial" w:eastAsia="宋体" w:hAnsi="Arial" w:cs="Arial"/>
          <w:color w:val="000000"/>
          <w:kern w:val="0"/>
          <w:sz w:val="24"/>
          <w:szCs w:val="24"/>
        </w:rPr>
        <w:t>”</w:t>
      </w:r>
      <w:r w:rsidRPr="00511E66">
        <w:rPr>
          <w:rFonts w:ascii="Arial" w:eastAsia="宋体" w:hAnsi="Arial" w:cs="Arial"/>
          <w:color w:val="000000"/>
          <w:kern w:val="0"/>
          <w:sz w:val="24"/>
          <w:szCs w:val="24"/>
        </w:rPr>
        <w:t>。建设单位按工资性工程款和其他工程款</w:t>
      </w:r>
      <w:proofErr w:type="gramStart"/>
      <w:r w:rsidRPr="00511E66">
        <w:rPr>
          <w:rFonts w:ascii="Arial" w:eastAsia="宋体" w:hAnsi="Arial" w:cs="Arial"/>
          <w:color w:val="000000"/>
          <w:kern w:val="0"/>
          <w:sz w:val="24"/>
          <w:szCs w:val="24"/>
        </w:rPr>
        <w:t>分金额分银行</w:t>
      </w:r>
      <w:proofErr w:type="gramEnd"/>
      <w:r w:rsidRPr="00511E66">
        <w:rPr>
          <w:rFonts w:ascii="Arial" w:eastAsia="宋体" w:hAnsi="Arial" w:cs="Arial"/>
          <w:color w:val="000000"/>
          <w:kern w:val="0"/>
          <w:sz w:val="24"/>
          <w:szCs w:val="24"/>
        </w:rPr>
        <w:t>账户申请拨付。审计结算前，工资性工程</w:t>
      </w:r>
      <w:proofErr w:type="gramStart"/>
      <w:r w:rsidRPr="00511E66">
        <w:rPr>
          <w:rFonts w:ascii="Arial" w:eastAsia="宋体" w:hAnsi="Arial" w:cs="Arial"/>
          <w:color w:val="000000"/>
          <w:kern w:val="0"/>
          <w:sz w:val="24"/>
          <w:szCs w:val="24"/>
        </w:rPr>
        <w:t>款依据</w:t>
      </w:r>
      <w:proofErr w:type="gramEnd"/>
      <w:r w:rsidRPr="00511E66">
        <w:rPr>
          <w:rFonts w:ascii="Arial" w:eastAsia="宋体" w:hAnsi="Arial" w:cs="Arial"/>
          <w:color w:val="000000"/>
          <w:kern w:val="0"/>
          <w:sz w:val="24"/>
          <w:szCs w:val="24"/>
        </w:rPr>
        <w:t>相关规定按月足额拨付。</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第二十三条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竣工决算超过设计概算或估算的，应在项目竣工验收前报区政府相关会议明确后，报原审批部门进行概算（估算）调整。凡未经批准的工程变更不予纳入概算调整范围。</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第七章</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基础管理</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第二十四条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建设单位应成立内审机构，并配备内部审核人员，从事建设项目的估算、概算和预算管理（工程量清单审核）、工程量计量与工程款支付审核、工程变更审核、跟踪审计、工程价款结算审核、竣工财务决算编制等投资控制工作。必要时，可以委托社会中介机构承担相关工作。</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第二十五条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应采用竞争性方式择优确定中介机构。建设单位应通过采购或招投标确定设计监理、招标代理、工程量清单审核、造价咨询、跟踪审计、工程价款结算审核、竣工财务决算编审、其他投资控制或咨询等社会中介机构。中介机构一旦确定，除遇特殊情况外，在同一事项委托中不得擅自更换。</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lastRenderedPageBreak/>
        <w:t>第二十六条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推行项目后评价制度。建设单位应积极配合有关部门组织的重大项目后评价工作。根据有关部门要求，事先对概算、预算和合同执行情况、变更控制、投资效益等方面进行自查评价。</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第八章</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责任追究</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第二十七条　有下列情形之一的，责令改正，对负有责任的领导人员和直接责任人员依法给予处分：</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（一）超越审批权限审批政府投资项目；</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（二）对不符合规定的政府投资项目予以批准；</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（三）未按照规定核定或者调整政府投资项目的投资概算；</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（四）为不符合规定的项目安排投资补助、贷款贴息等政府投资资金；</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（五）履行政府投资管理职责中其他玩忽职守、滥用职权、徇私舞弊的情形。</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第二十八条　有下列情形之一的，依照有关预算的法律、行政法规和国家有关规定追究法律责任：</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（一）违法违规举借债务筹措政府投资资金；</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（二）未按照规定及时、足额办理政府投资资金拨付；</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（三）转移、侵占、挪用政府投资资金。</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第二十九条　项目单位有下列情形之一的，责令改正，根据具体情况，暂停、停止拨付资金或者收回已拨付的资金，暂停或者停止建设活动，对负有责任的领导人员和直接责任人员依法给予处分：</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（一）未经批准或者不符合规定的建设条件开工建设政府投资项目；</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（二）弄虚作假骗取政府投资项目审批或者投资补助、贷款贴息等政府投资资金；</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（三）未经批准变更政府投资项目的建设地点或者对建设规模、建设内容等作较大变更；</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（四）擅自增加投资概算；</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（五）要求施工单位对政府投资项目垫资建设；</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lastRenderedPageBreak/>
        <w:t>（六）无正当理由不实施或者不按照建设工期实施已批准的政府投资项目。</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第三十条　项目单位未按照规定将政府投资项目审批和实施过程中的有关文件、资料存档备查，或者转移、隐匿、篡改、毁弃项目有关文件、资料的，责令改正，对负有责任的领导人员和直接责任人员依法给予处分。</w:t>
      </w: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第三十一条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项目勘察、设计、施工、监理等建设工程参与主体，因未尽到职责，导致工程重大变更的，由行业监管部门纳入市级行业征信系统，并按相关规定实施。</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第九章</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附　则</w:t>
      </w:r>
    </w:p>
    <w:p w:rsidR="00511E66" w:rsidRPr="00511E66" w:rsidRDefault="00511E66" w:rsidP="00511E66">
      <w:pPr>
        <w:widowControl/>
        <w:spacing w:line="480" w:lineRule="atLeast"/>
        <w:jc w:val="left"/>
        <w:rPr>
          <w:rFonts w:ascii="Arial" w:eastAsia="宋体" w:hAnsi="Arial" w:cs="Arial"/>
          <w:color w:val="000000"/>
          <w:kern w:val="0"/>
          <w:sz w:val="24"/>
          <w:szCs w:val="24"/>
        </w:rPr>
      </w:pPr>
    </w:p>
    <w:p w:rsidR="00511E66" w:rsidRPr="00511E66" w:rsidRDefault="00511E66" w:rsidP="00511E66">
      <w:pPr>
        <w:widowControl/>
        <w:spacing w:line="480" w:lineRule="atLeast"/>
        <w:ind w:firstLine="480"/>
        <w:jc w:val="left"/>
        <w:rPr>
          <w:rFonts w:ascii="Arial" w:eastAsia="宋体" w:hAnsi="Arial" w:cs="Arial"/>
          <w:color w:val="000000"/>
          <w:kern w:val="0"/>
          <w:sz w:val="24"/>
          <w:szCs w:val="24"/>
        </w:rPr>
      </w:pPr>
      <w:r w:rsidRPr="00511E66">
        <w:rPr>
          <w:rFonts w:ascii="Arial" w:eastAsia="宋体" w:hAnsi="Arial" w:cs="Arial"/>
          <w:color w:val="000000"/>
          <w:kern w:val="0"/>
          <w:sz w:val="24"/>
          <w:szCs w:val="24"/>
        </w:rPr>
        <w:t>第三十二条</w:t>
      </w:r>
      <w:r w:rsidRPr="00511E66">
        <w:rPr>
          <w:rFonts w:ascii="Arial" w:eastAsia="宋体" w:hAnsi="Arial" w:cs="Arial"/>
          <w:color w:val="000000"/>
          <w:kern w:val="0"/>
          <w:sz w:val="24"/>
          <w:szCs w:val="24"/>
        </w:rPr>
        <w:t> </w:t>
      </w:r>
      <w:r w:rsidRPr="00511E66">
        <w:rPr>
          <w:rFonts w:ascii="Arial" w:eastAsia="宋体" w:hAnsi="Arial" w:cs="Arial"/>
          <w:color w:val="000000"/>
          <w:kern w:val="0"/>
          <w:sz w:val="24"/>
          <w:szCs w:val="24"/>
        </w:rPr>
        <w:t>本办法自</w:t>
      </w:r>
      <w:r w:rsidRPr="00511E66">
        <w:rPr>
          <w:rFonts w:ascii="Arial" w:eastAsia="宋体" w:hAnsi="Arial" w:cs="Arial"/>
          <w:color w:val="000000"/>
          <w:kern w:val="0"/>
          <w:sz w:val="24"/>
          <w:szCs w:val="24"/>
        </w:rPr>
        <w:t>2019</w:t>
      </w:r>
      <w:r w:rsidRPr="00511E66">
        <w:rPr>
          <w:rFonts w:ascii="Arial" w:eastAsia="宋体" w:hAnsi="Arial" w:cs="Arial"/>
          <w:color w:val="000000"/>
          <w:kern w:val="0"/>
          <w:sz w:val="24"/>
          <w:szCs w:val="24"/>
        </w:rPr>
        <w:t>年</w:t>
      </w:r>
      <w:r w:rsidRPr="00511E66">
        <w:rPr>
          <w:rFonts w:ascii="Arial" w:eastAsia="宋体" w:hAnsi="Arial" w:cs="Arial"/>
          <w:color w:val="000000"/>
          <w:kern w:val="0"/>
          <w:sz w:val="24"/>
          <w:szCs w:val="24"/>
        </w:rPr>
        <w:t>12</w:t>
      </w:r>
      <w:r w:rsidRPr="00511E66">
        <w:rPr>
          <w:rFonts w:ascii="Arial" w:eastAsia="宋体" w:hAnsi="Arial" w:cs="Arial"/>
          <w:color w:val="000000"/>
          <w:kern w:val="0"/>
          <w:sz w:val="24"/>
          <w:szCs w:val="24"/>
        </w:rPr>
        <w:t>月</w:t>
      </w:r>
      <w:r w:rsidRPr="00511E66">
        <w:rPr>
          <w:rFonts w:ascii="Arial" w:eastAsia="宋体" w:hAnsi="Arial" w:cs="Arial"/>
          <w:color w:val="000000"/>
          <w:kern w:val="0"/>
          <w:sz w:val="24"/>
          <w:szCs w:val="24"/>
        </w:rPr>
        <w:t>15</w:t>
      </w:r>
      <w:r w:rsidRPr="00511E66">
        <w:rPr>
          <w:rFonts w:ascii="Arial" w:eastAsia="宋体" w:hAnsi="Arial" w:cs="Arial"/>
          <w:color w:val="000000"/>
          <w:kern w:val="0"/>
          <w:sz w:val="24"/>
          <w:szCs w:val="24"/>
        </w:rPr>
        <w:t>日起实施。</w:t>
      </w:r>
      <w:proofErr w:type="gramStart"/>
      <w:r w:rsidRPr="00511E66">
        <w:rPr>
          <w:rFonts w:ascii="Arial" w:eastAsia="宋体" w:hAnsi="Arial" w:cs="Arial"/>
          <w:color w:val="000000"/>
          <w:kern w:val="0"/>
          <w:sz w:val="24"/>
          <w:szCs w:val="24"/>
        </w:rPr>
        <w:t>原下政办</w:t>
      </w:r>
      <w:proofErr w:type="gramEnd"/>
      <w:r w:rsidRPr="00511E66">
        <w:rPr>
          <w:rFonts w:ascii="Arial" w:eastAsia="宋体" w:hAnsi="Arial" w:cs="Arial"/>
          <w:color w:val="000000"/>
          <w:kern w:val="0"/>
          <w:sz w:val="24"/>
          <w:szCs w:val="24"/>
        </w:rPr>
        <w:t>发（</w:t>
      </w:r>
      <w:r w:rsidRPr="00511E66">
        <w:rPr>
          <w:rFonts w:ascii="Arial" w:eastAsia="宋体" w:hAnsi="Arial" w:cs="Arial"/>
          <w:color w:val="000000"/>
          <w:kern w:val="0"/>
          <w:sz w:val="24"/>
          <w:szCs w:val="24"/>
        </w:rPr>
        <w:t>2018</w:t>
      </w:r>
      <w:r w:rsidRPr="00511E66">
        <w:rPr>
          <w:rFonts w:ascii="Arial" w:eastAsia="宋体" w:hAnsi="Arial" w:cs="Arial"/>
          <w:color w:val="000000"/>
          <w:kern w:val="0"/>
          <w:sz w:val="24"/>
          <w:szCs w:val="24"/>
        </w:rPr>
        <w:t>）</w:t>
      </w:r>
      <w:r w:rsidRPr="00511E66">
        <w:rPr>
          <w:rFonts w:ascii="Arial" w:eastAsia="宋体" w:hAnsi="Arial" w:cs="Arial"/>
          <w:color w:val="000000"/>
          <w:kern w:val="0"/>
          <w:sz w:val="24"/>
          <w:szCs w:val="24"/>
        </w:rPr>
        <w:t>5</w:t>
      </w:r>
      <w:r w:rsidRPr="00511E66">
        <w:rPr>
          <w:rFonts w:ascii="Arial" w:eastAsia="宋体" w:hAnsi="Arial" w:cs="Arial"/>
          <w:color w:val="000000"/>
          <w:kern w:val="0"/>
          <w:sz w:val="24"/>
          <w:szCs w:val="24"/>
        </w:rPr>
        <w:t>号、</w:t>
      </w:r>
      <w:proofErr w:type="gramStart"/>
      <w:r w:rsidRPr="00511E66">
        <w:rPr>
          <w:rFonts w:ascii="Arial" w:eastAsia="宋体" w:hAnsi="Arial" w:cs="Arial"/>
          <w:color w:val="000000"/>
          <w:kern w:val="0"/>
          <w:sz w:val="24"/>
          <w:szCs w:val="24"/>
        </w:rPr>
        <w:t>下政办</w:t>
      </w:r>
      <w:proofErr w:type="gramEnd"/>
      <w:r w:rsidRPr="00511E66">
        <w:rPr>
          <w:rFonts w:ascii="Arial" w:eastAsia="宋体" w:hAnsi="Arial" w:cs="Arial"/>
          <w:color w:val="000000"/>
          <w:kern w:val="0"/>
          <w:sz w:val="24"/>
          <w:szCs w:val="24"/>
        </w:rPr>
        <w:t>发（</w:t>
      </w:r>
      <w:r w:rsidRPr="00511E66">
        <w:rPr>
          <w:rFonts w:ascii="Arial" w:eastAsia="宋体" w:hAnsi="Arial" w:cs="Arial"/>
          <w:color w:val="000000"/>
          <w:kern w:val="0"/>
          <w:sz w:val="24"/>
          <w:szCs w:val="24"/>
        </w:rPr>
        <w:t>2011</w:t>
      </w:r>
      <w:r w:rsidRPr="00511E66">
        <w:rPr>
          <w:rFonts w:ascii="Arial" w:eastAsia="宋体" w:hAnsi="Arial" w:cs="Arial"/>
          <w:color w:val="000000"/>
          <w:kern w:val="0"/>
          <w:sz w:val="24"/>
          <w:szCs w:val="24"/>
        </w:rPr>
        <w:t>）</w:t>
      </w:r>
      <w:r w:rsidRPr="00511E66">
        <w:rPr>
          <w:rFonts w:ascii="Arial" w:eastAsia="宋体" w:hAnsi="Arial" w:cs="Arial"/>
          <w:color w:val="000000"/>
          <w:kern w:val="0"/>
          <w:sz w:val="24"/>
          <w:szCs w:val="24"/>
        </w:rPr>
        <w:t>57</w:t>
      </w:r>
      <w:r w:rsidRPr="00511E66">
        <w:rPr>
          <w:rFonts w:ascii="Arial" w:eastAsia="宋体" w:hAnsi="Arial" w:cs="Arial"/>
          <w:color w:val="000000"/>
          <w:kern w:val="0"/>
          <w:sz w:val="24"/>
          <w:szCs w:val="24"/>
        </w:rPr>
        <w:t>号文件废止。</w:t>
      </w:r>
    </w:p>
    <w:p w:rsidR="00B91613" w:rsidRPr="00511E66" w:rsidRDefault="00B91613" w:rsidP="00511E66">
      <w:bookmarkStart w:id="0" w:name="_GoBack"/>
      <w:bookmarkEnd w:id="0"/>
    </w:p>
    <w:sectPr w:rsidR="00B91613" w:rsidRPr="00511E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511E66"/>
    <w:rsid w:val="006C433D"/>
    <w:rsid w:val="00B91613"/>
    <w:rsid w:val="00C05908"/>
    <w:rsid w:val="00C61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11E6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511E66"/>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44058">
      <w:bodyDiv w:val="1"/>
      <w:marLeft w:val="0"/>
      <w:marRight w:val="0"/>
      <w:marTop w:val="0"/>
      <w:marBottom w:val="0"/>
      <w:divBdr>
        <w:top w:val="none" w:sz="0" w:space="0" w:color="auto"/>
        <w:left w:val="none" w:sz="0" w:space="0" w:color="auto"/>
        <w:bottom w:val="none" w:sz="0" w:space="0" w:color="auto"/>
        <w:right w:val="none" w:sz="0" w:space="0" w:color="auto"/>
      </w:divBdr>
    </w:div>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2</cp:revision>
  <dcterms:created xsi:type="dcterms:W3CDTF">2021-07-22T02:25:00Z</dcterms:created>
  <dcterms:modified xsi:type="dcterms:W3CDTF">2021-07-22T02:25:00Z</dcterms:modified>
</cp:coreProperties>
</file>