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eastAsia="仿宋_GB2312"/>
          <w:sz w:val="32"/>
          <w:szCs w:val="32"/>
        </w:rPr>
      </w:pPr>
      <w:bookmarkStart w:id="0" w:name="_Hlk95312723"/>
      <w:r>
        <w:rPr>
          <w:rFonts w:eastAsia="仿宋_GB2312"/>
          <w:sz w:val="32"/>
          <w:szCs w:val="32"/>
        </w:rPr>
        <w:t>AGSD10-2022-0003</w:t>
      </w:r>
      <w:bookmarkEnd w:id="0"/>
    </w:p>
    <w:tbl>
      <w:tblPr>
        <w:tblStyle w:val="7"/>
        <w:tblpPr w:leftFromText="180" w:rightFromText="180" w:vertAnchor="page" w:horzAnchor="margin" w:tblpXSpec="center" w:tblpY="3001"/>
        <w:tblW w:w="8755" w:type="dxa"/>
        <w:tblInd w:w="0" w:type="dxa"/>
        <w:tblLayout w:type="fixed"/>
        <w:tblCellMar>
          <w:top w:w="0" w:type="dxa"/>
          <w:left w:w="108" w:type="dxa"/>
          <w:bottom w:w="0" w:type="dxa"/>
          <w:right w:w="108" w:type="dxa"/>
        </w:tblCellMar>
      </w:tblPr>
      <w:tblGrid>
        <w:gridCol w:w="6771"/>
        <w:gridCol w:w="1984"/>
      </w:tblGrid>
      <w:tr>
        <w:tblPrEx>
          <w:tblCellMar>
            <w:top w:w="0" w:type="dxa"/>
            <w:left w:w="108" w:type="dxa"/>
            <w:bottom w:w="0" w:type="dxa"/>
            <w:right w:w="108" w:type="dxa"/>
          </w:tblCellMar>
        </w:tblPrEx>
        <w:tc>
          <w:tcPr>
            <w:tcW w:w="6771" w:type="dxa"/>
            <w:shd w:val="clear" w:color="auto" w:fill="auto"/>
          </w:tcPr>
          <w:p>
            <w:pPr>
              <w:spacing w:before="156" w:beforeLines="50" w:line="1000" w:lineRule="exact"/>
              <w:jc w:val="center"/>
              <w:rPr>
                <w:rFonts w:eastAsia="方正小标宋简体"/>
                <w:bCs/>
                <w:color w:val="FF0000"/>
                <w:sz w:val="72"/>
                <w:szCs w:val="72"/>
              </w:rPr>
            </w:pPr>
            <w:bookmarkStart w:id="1" w:name="_Hlk93410423"/>
            <w:r>
              <w:rPr>
                <w:rFonts w:eastAsia="方正小标宋简体"/>
                <w:bCs/>
                <w:color w:val="FF0000"/>
                <w:sz w:val="72"/>
                <w:szCs w:val="72"/>
              </w:rPr>
              <w:t>杭州市拱墅区民政局</w:t>
            </w:r>
          </w:p>
        </w:tc>
        <w:tc>
          <w:tcPr>
            <w:tcW w:w="1984" w:type="dxa"/>
            <w:vMerge w:val="restart"/>
            <w:shd w:val="clear" w:color="auto" w:fill="auto"/>
            <w:vAlign w:val="center"/>
          </w:tcPr>
          <w:p>
            <w:pPr>
              <w:spacing w:before="156" w:beforeLines="50" w:line="900" w:lineRule="exact"/>
              <w:jc w:val="center"/>
              <w:rPr>
                <w:rFonts w:eastAsia="方正小标宋简体"/>
                <w:bCs/>
                <w:color w:val="FF0000"/>
                <w:sz w:val="36"/>
                <w:szCs w:val="36"/>
              </w:rPr>
            </w:pPr>
            <w:r>
              <w:rPr>
                <w:rFonts w:eastAsia="方正小标宋简体"/>
                <w:bCs/>
                <w:color w:val="FF0000"/>
                <w:sz w:val="72"/>
                <w:szCs w:val="72"/>
              </w:rPr>
              <w:t>文件</w:t>
            </w:r>
          </w:p>
        </w:tc>
      </w:tr>
      <w:tr>
        <w:tblPrEx>
          <w:tblCellMar>
            <w:top w:w="0" w:type="dxa"/>
            <w:left w:w="108" w:type="dxa"/>
            <w:bottom w:w="0" w:type="dxa"/>
            <w:right w:w="108" w:type="dxa"/>
          </w:tblCellMar>
        </w:tblPrEx>
        <w:tc>
          <w:tcPr>
            <w:tcW w:w="6771" w:type="dxa"/>
            <w:shd w:val="clear" w:color="auto" w:fill="auto"/>
          </w:tcPr>
          <w:p>
            <w:pPr>
              <w:spacing w:before="156" w:beforeLines="50" w:line="1000" w:lineRule="exact"/>
              <w:jc w:val="center"/>
              <w:rPr>
                <w:rFonts w:eastAsia="方正小标宋简体"/>
                <w:bCs/>
                <w:color w:val="FF0000"/>
                <w:sz w:val="72"/>
                <w:szCs w:val="72"/>
              </w:rPr>
            </w:pPr>
            <w:r>
              <w:rPr>
                <w:rFonts w:eastAsia="方正小标宋简体"/>
                <w:bCs/>
                <w:color w:val="FF0000"/>
                <w:sz w:val="72"/>
                <w:szCs w:val="72"/>
              </w:rPr>
              <w:t>杭州市拱墅区财政局</w:t>
            </w:r>
          </w:p>
        </w:tc>
        <w:tc>
          <w:tcPr>
            <w:tcW w:w="1984" w:type="dxa"/>
            <w:vMerge w:val="continue"/>
            <w:shd w:val="clear" w:color="auto" w:fill="auto"/>
          </w:tcPr>
          <w:p>
            <w:pPr>
              <w:spacing w:before="156" w:beforeLines="50" w:line="900" w:lineRule="exact"/>
              <w:jc w:val="center"/>
              <w:rPr>
                <w:rFonts w:eastAsia="仿宋_GB2312"/>
                <w:bCs/>
                <w:sz w:val="36"/>
                <w:szCs w:val="36"/>
              </w:rPr>
            </w:pPr>
          </w:p>
        </w:tc>
      </w:tr>
      <w:bookmarkEnd w:id="1"/>
    </w:tbl>
    <w:p>
      <w:pPr>
        <w:spacing w:before="312" w:beforeLines="100" w:line="570" w:lineRule="exact"/>
        <w:jc w:val="center"/>
        <w:rPr>
          <w:rFonts w:eastAsia="仿宋_GB2312"/>
          <w:sz w:val="32"/>
          <w:szCs w:val="32"/>
        </w:rPr>
      </w:pPr>
      <w:r>
        <w:rPr>
          <w:rFonts w:eastAsia="仿宋_GB2312"/>
          <w:sz w:val="32"/>
          <w:szCs w:val="32"/>
        </w:rPr>
        <w:t>拱民〔</w:t>
      </w:r>
      <w:r>
        <w:rPr>
          <w:rFonts w:hint="eastAsia" w:eastAsia="仿宋_GB2312"/>
          <w:sz w:val="32"/>
          <w:szCs w:val="32"/>
        </w:rPr>
        <w:t>202</w:t>
      </w:r>
      <w:r>
        <w:rPr>
          <w:rFonts w:eastAsia="仿宋_GB2312"/>
          <w:sz w:val="32"/>
          <w:szCs w:val="32"/>
        </w:rPr>
        <w:t>2〕3号</w:t>
      </w:r>
    </w:p>
    <w:p>
      <w:pPr>
        <w:adjustRightInd w:val="0"/>
        <w:snapToGrid w:val="0"/>
        <w:spacing w:line="560" w:lineRule="exact"/>
        <w:jc w:val="center"/>
        <w:rPr>
          <w:rFonts w:eastAsia="黑体"/>
          <w:sz w:val="44"/>
          <w:szCs w:val="44"/>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271780</wp:posOffset>
                </wp:positionV>
                <wp:extent cx="5372100" cy="0"/>
                <wp:effectExtent l="27305" t="23495" r="20320" b="24130"/>
                <wp:wrapNone/>
                <wp:docPr id="1" name="直接连接符 5"/>
                <wp:cNvGraphicFramePr/>
                <a:graphic xmlns:a="http://schemas.openxmlformats.org/drawingml/2006/main">
                  <a:graphicData uri="http://schemas.microsoft.com/office/word/2010/wordprocessingShape">
                    <wps:wsp>
                      <wps:cNvCnPr/>
                      <wps:spPr bwMode="auto">
                        <a:xfrm>
                          <a:off x="0" y="0"/>
                          <a:ext cx="5372100" cy="0"/>
                        </a:xfrm>
                        <a:prstGeom prst="line">
                          <a:avLst/>
                        </a:prstGeom>
                        <a:noFill/>
                        <a:ln w="38100">
                          <a:solidFill>
                            <a:srgbClr val="FF0000"/>
                          </a:solidFill>
                          <a:round/>
                        </a:ln>
                      </wps:spPr>
                      <wps:bodyPr/>
                    </wps:wsp>
                  </a:graphicData>
                </a:graphic>
              </wp:anchor>
            </w:drawing>
          </mc:Choice>
          <mc:Fallback>
            <w:pict>
              <v:line id="直接连接符 5" o:spid="_x0000_s1026" o:spt="20" style="position:absolute;left:0pt;margin-top:21.4pt;height:0pt;width:423pt;mso-position-horizontal:center;mso-position-horizontal-relative:margin;z-index:251659264;mso-width-relative:page;mso-height-relative:page;" filled="f" stroked="t" coordsize="21600,21600" o:gfxdata="UEsDBAoAAAAAAIdO4kAAAAAAAAAAAAAAAAAEAAAAZHJzL1BLAwQUAAAACACHTuJAWXsGstcAAAAG&#10;AQAADwAAAGRycy9kb3ducmV2LnhtbE2PQWvCQBCF74X+h2UKvRTdKCKSZiOlINp6qE2F4m3Njkkw&#10;O5vubtT++4700B7fe8N732Tzi23FCX1oHCkYDRMQSKUzDVUKth+LwQxEiJqMbh2hgm8MMM9vbzKd&#10;GnemdzwVsRJcQiHVCuoYu1TKUNZodRi6Domzg/NWR5a+ksbrM5fbVo6TZCqtbogXat3hc43lseit&#10;Avtmn+RuvewLv3l5/fxarzbHh5VS93ej5BFExEv8O4YrPqNDzkx715MJolXAj0QFkzHzczqbTNnY&#10;/xoyz+R//PwHUEsDBBQAAAAIAIdO4kArhxX6yQEAAHkDAAAOAAAAZHJzL2Uyb0RvYy54bWytU0uO&#10;EzEQ3SNxB8t70p2MBkatdGYxUdjwGQk4QMV2py3ZLst20skluAASO1ixZM9tmDkGZXcSYNjMgl5Y&#10;rt9zvVfV8+u9NWynQtToWj6d1JwpJ1Bqt2n5h/erZ1ecxQROgkGnWn5QkV8vnj6ZD75RM+zRSBUY&#10;gbjYDL7lfUq+qaooemUhTtArR8EOg4VEZthUMsBA6NZUs7p+Xg0YpA8oVIzkXY5BfkQMjwHErtNC&#10;LVFsrXJpRA3KQCJKsdc+8kXptuuUSG+7LqrETMuJaSonPUL3dT6rxRyaTQDfa3FsAR7TwgNOFrSj&#10;R89QS0jAtkH/A2W1CBixSxOBthqJFEWIxbR+oM27HrwqXEjq6M+ix/8HK97sbgPTkjaBMweWBn73&#10;6fvPj1/uf3ym8+7bV3aZRRp8bCj3xt2GoxU9Fa6H1yipBrYJC/99F2zWgZixfZH5cJZZ7RMT5Ly8&#10;eDGb1jQBcYpV0JwKfYjppULL8qXlRrusADSwexUTPU2pp5TsdrjSxpQpGseGll9cZegcimi0zNFi&#10;hM36xgS2A1qE1aqmL9MitL/SAm6dHP3GUTjTzkRHAdYoD4V/8dNECsBxe/LI/7RL9e8/Zv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XsGstcAAAAGAQAADwAAAAAAAAABACAAAAAiAAAAZHJzL2Rv&#10;d25yZXYueG1sUEsBAhQAFAAAAAgAh07iQCuHFfrJAQAAeQMAAA4AAAAAAAAAAQAgAAAAJgEAAGRy&#10;cy9lMm9Eb2MueG1sUEsFBgAAAAAGAAYAWQEAAGEFAAAAAA==&#10;">
                <v:fill on="f" focussize="0,0"/>
                <v:stroke weight="3pt" color="#FF0000" joinstyle="round"/>
                <v:imagedata o:title=""/>
                <o:lock v:ext="edit" aspectratio="f"/>
              </v:line>
            </w:pict>
          </mc:Fallback>
        </mc:AlternateContent>
      </w:r>
    </w:p>
    <w:p>
      <w:pPr>
        <w:adjustRightInd w:val="0"/>
        <w:snapToGrid w:val="0"/>
        <w:spacing w:line="560" w:lineRule="exact"/>
        <w:jc w:val="center"/>
        <w:rPr>
          <w:rFonts w:eastAsia="黑体"/>
          <w:sz w:val="44"/>
          <w:szCs w:val="44"/>
        </w:rPr>
      </w:pP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拱墅区养老服务电子津贴制度的实施细则</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为健全我区基本养老服务体系，强化政府保基本兜底线职能，全面提升养老服务质量，提高养老服务供给保障，根据《杭州市居家养老服务条例》、《杭州市人民政府办公厅关于贯彻落实&lt;杭州市居家养老服务条例&gt;的实施意见》（杭政办函〔2020〕47号）、《杭州市养老服务电子津贴制度的实施意见》（杭民发〔2020〕108号）、《杭州市拱墅区人民政府办公室印发拱墅区关于全面实施“春风常驻”共建共享美好生活的若干规定的通知》（拱政办发〔2021〕18号）等文件要求，结合我区实际，制定本实施细则。</w:t>
      </w:r>
    </w:p>
    <w:p>
      <w:pPr>
        <w:spacing w:line="560" w:lineRule="exact"/>
        <w:ind w:firstLine="640" w:firstLineChars="200"/>
        <w:rPr>
          <w:rFonts w:eastAsia="黑体"/>
          <w:sz w:val="32"/>
          <w:szCs w:val="32"/>
        </w:rPr>
      </w:pPr>
      <w:r>
        <w:rPr>
          <w:rFonts w:eastAsia="黑体"/>
          <w:sz w:val="32"/>
          <w:szCs w:val="32"/>
        </w:rPr>
        <w:t>一、总体要求</w:t>
      </w:r>
    </w:p>
    <w:p>
      <w:pPr>
        <w:spacing w:line="560" w:lineRule="exact"/>
        <w:ind w:firstLine="640" w:firstLineChars="200"/>
        <w:rPr>
          <w:rFonts w:eastAsia="仿宋_GB2312"/>
          <w:sz w:val="32"/>
          <w:szCs w:val="32"/>
        </w:rPr>
      </w:pPr>
      <w:r>
        <w:rPr>
          <w:rFonts w:eastAsia="仿宋_GB2312"/>
          <w:sz w:val="32"/>
          <w:szCs w:val="32"/>
        </w:rPr>
        <w:t>养老服务电子津贴制度是指对高龄、失能、失智、失独等特殊困难老年人，经过评估，依托杭州市“互联网+养老”系统平台，以“重阳分”形式按月发放至老年人本人社保卡（市民卡）养老服务专户中，作为老年人享受政府提供服务的电子权益的一种制度。养老服务电子津贴不可提现，采用虚拟额度后结算制，按照老年人实际使用情况进行结算。</w:t>
      </w:r>
    </w:p>
    <w:p>
      <w:pPr>
        <w:spacing w:line="560" w:lineRule="exact"/>
        <w:ind w:firstLine="640" w:firstLineChars="200"/>
        <w:rPr>
          <w:rFonts w:eastAsia="黑体"/>
          <w:sz w:val="32"/>
          <w:szCs w:val="32"/>
        </w:rPr>
      </w:pPr>
      <w:r>
        <w:rPr>
          <w:rFonts w:eastAsia="黑体"/>
          <w:sz w:val="32"/>
          <w:szCs w:val="32"/>
        </w:rPr>
        <w:t>二、基本原则</w:t>
      </w:r>
    </w:p>
    <w:p>
      <w:pPr>
        <w:spacing w:line="560" w:lineRule="exact"/>
        <w:ind w:firstLine="640" w:firstLineChars="200"/>
        <w:rPr>
          <w:rFonts w:eastAsia="仿宋_GB2312"/>
          <w:sz w:val="32"/>
          <w:szCs w:val="32"/>
        </w:rPr>
      </w:pPr>
      <w:r>
        <w:rPr>
          <w:rFonts w:eastAsia="仿宋_GB2312"/>
          <w:sz w:val="32"/>
          <w:szCs w:val="32"/>
        </w:rPr>
        <w:t>养老服务电子津贴以满足老年人必要的生活照护需求为原则，通过提供服务的方式实施。按照保障基本与适度普惠相结合，需求导向与精准服务相结合，志愿服务与社会参与相结合，创新机制与加强监管相结合，逐步形成合理保障梯度，为老年人自愿、就近选择养老服务提供便利。</w:t>
      </w:r>
    </w:p>
    <w:p>
      <w:pPr>
        <w:spacing w:line="560" w:lineRule="exact"/>
        <w:ind w:firstLine="640" w:firstLineChars="200"/>
        <w:rPr>
          <w:rFonts w:eastAsia="黑体"/>
          <w:sz w:val="32"/>
          <w:szCs w:val="32"/>
        </w:rPr>
      </w:pPr>
      <w:r>
        <w:rPr>
          <w:rFonts w:eastAsia="黑体"/>
          <w:sz w:val="32"/>
          <w:szCs w:val="32"/>
        </w:rPr>
        <w:t>三、补贴对象及标准</w:t>
      </w:r>
    </w:p>
    <w:p>
      <w:pPr>
        <w:spacing w:line="560" w:lineRule="exact"/>
        <w:ind w:firstLine="640" w:firstLineChars="200"/>
        <w:rPr>
          <w:rFonts w:eastAsia="仿宋_GB2312"/>
          <w:sz w:val="32"/>
          <w:szCs w:val="32"/>
        </w:rPr>
      </w:pPr>
      <w:r>
        <w:rPr>
          <w:rFonts w:eastAsia="仿宋_GB2312"/>
          <w:sz w:val="32"/>
          <w:szCs w:val="32"/>
        </w:rPr>
        <w:t>具有拱墅区户籍并居住在杭州市的居家老年人，享受政府提供的高龄普惠服务、失能失智照料服务（两类服务就高享受），按照下述标准实施。</w:t>
      </w:r>
    </w:p>
    <w:p>
      <w:pPr>
        <w:spacing w:line="560" w:lineRule="exact"/>
        <w:ind w:firstLine="640" w:firstLineChars="200"/>
        <w:rPr>
          <w:rFonts w:eastAsia="楷体_GB2312"/>
          <w:b/>
          <w:bCs/>
          <w:sz w:val="32"/>
          <w:szCs w:val="32"/>
        </w:rPr>
      </w:pPr>
      <w:r>
        <w:rPr>
          <w:rFonts w:hint="eastAsia" w:eastAsia="楷体_GB2312"/>
          <w:b/>
          <w:bCs/>
          <w:sz w:val="32"/>
          <w:szCs w:val="32"/>
        </w:rPr>
        <w:t>（一）</w:t>
      </w:r>
      <w:r>
        <w:rPr>
          <w:rFonts w:eastAsia="楷体_GB2312"/>
          <w:b/>
          <w:bCs/>
          <w:sz w:val="32"/>
          <w:szCs w:val="32"/>
        </w:rPr>
        <w:t>高龄普惠服务</w:t>
      </w:r>
    </w:p>
    <w:p>
      <w:pPr>
        <w:spacing w:line="560" w:lineRule="exact"/>
        <w:ind w:firstLine="640" w:firstLineChars="200"/>
        <w:rPr>
          <w:rFonts w:eastAsia="仿宋_GB2312"/>
          <w:sz w:val="32"/>
          <w:szCs w:val="32"/>
        </w:rPr>
      </w:pPr>
      <w:r>
        <w:rPr>
          <w:rFonts w:eastAsia="仿宋_GB2312"/>
          <w:sz w:val="32"/>
          <w:szCs w:val="32"/>
        </w:rPr>
        <w:t>在智慧呼叫服务基础上，80至89周岁老年人享受每人每月40元电子津贴；90周岁及以上老年人享受每人每月100元电子津贴。智慧呼叫服务按照《杭州市民政局 杭州市财政局关于提升全市智慧养老综合服务工作的通知》（杭民发〔2019〕100号）执行。</w:t>
      </w:r>
    </w:p>
    <w:p>
      <w:pPr>
        <w:spacing w:line="560" w:lineRule="exact"/>
        <w:ind w:firstLine="640" w:firstLineChars="200"/>
        <w:rPr>
          <w:rFonts w:eastAsia="楷体_GB2312"/>
          <w:b/>
          <w:bCs/>
          <w:sz w:val="32"/>
          <w:szCs w:val="32"/>
        </w:rPr>
      </w:pPr>
      <w:r>
        <w:rPr>
          <w:rFonts w:hint="eastAsia" w:eastAsia="楷体_GB2312"/>
          <w:b/>
          <w:bCs/>
          <w:sz w:val="32"/>
          <w:szCs w:val="32"/>
        </w:rPr>
        <w:t>（二）</w:t>
      </w:r>
      <w:r>
        <w:rPr>
          <w:rFonts w:eastAsia="楷体_GB2312"/>
          <w:b/>
          <w:bCs/>
          <w:sz w:val="32"/>
          <w:szCs w:val="32"/>
        </w:rPr>
        <w:t>失能失智照料服务</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计划生育特殊家庭和最低生活保障家庭、最低生活保障边缘家庭、支出型贫困基本生活救助家庭中，经评估为重度失能失智的老年人享受每人每月1820元电子津贴；经评估为中度失能失智的老年人享受每人每月1330元电子津贴。</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中低收入老人</w:t>
      </w:r>
      <w:r>
        <w:rPr>
          <w:rFonts w:hint="eastAsia" w:eastAsia="仿宋_GB2312"/>
          <w:sz w:val="32"/>
          <w:szCs w:val="32"/>
        </w:rPr>
        <w:t>（</w:t>
      </w:r>
      <w:r>
        <w:rPr>
          <w:rFonts w:eastAsia="仿宋_GB2312"/>
          <w:sz w:val="32"/>
          <w:szCs w:val="32"/>
        </w:rPr>
        <w:t>城镇老年人养老金收入低于上一年度杭州市城镇居民人均生活消费支出水平</w:t>
      </w:r>
      <w:r>
        <w:rPr>
          <w:rFonts w:hint="eastAsia" w:eastAsia="仿宋_GB2312"/>
          <w:sz w:val="32"/>
          <w:szCs w:val="32"/>
        </w:rPr>
        <w:t>）</w:t>
      </w:r>
      <w:r>
        <w:rPr>
          <w:rFonts w:eastAsia="仿宋_GB2312"/>
          <w:sz w:val="32"/>
          <w:szCs w:val="32"/>
        </w:rPr>
        <w:t>，经评估为重度失能失智老年人享受每人每月560元电子津贴</w:t>
      </w:r>
      <w:r>
        <w:rPr>
          <w:rFonts w:hint="eastAsia" w:eastAsia="仿宋_GB2312"/>
          <w:sz w:val="32"/>
          <w:szCs w:val="32"/>
        </w:rPr>
        <w:t>；</w:t>
      </w:r>
      <w:r>
        <w:rPr>
          <w:rFonts w:eastAsia="仿宋_GB2312"/>
          <w:sz w:val="32"/>
          <w:szCs w:val="32"/>
        </w:rPr>
        <w:t>经评估为中度失能失智老年人享受每人每月420元电子津贴。</w:t>
      </w:r>
    </w:p>
    <w:p>
      <w:pPr>
        <w:spacing w:line="560" w:lineRule="exact"/>
        <w:ind w:firstLine="640" w:firstLineChars="200"/>
        <w:rPr>
          <w:rFonts w:eastAsia="仿宋_GB2312"/>
          <w:sz w:val="32"/>
          <w:szCs w:val="32"/>
        </w:rPr>
      </w:pPr>
      <w:r>
        <w:rPr>
          <w:rFonts w:eastAsia="仿宋_GB2312"/>
          <w:sz w:val="32"/>
          <w:szCs w:val="32"/>
        </w:rPr>
        <w:t>养老服务电子津贴与特困人员救助供养、重度残疾人护理补贴、养老服务补贴、入住养老机构护理补贴和家庭养老床位补助等不</w:t>
      </w:r>
      <w:r>
        <w:rPr>
          <w:rFonts w:hint="eastAsia" w:eastAsia="仿宋_GB2312"/>
          <w:sz w:val="32"/>
          <w:szCs w:val="32"/>
        </w:rPr>
        <w:t>重叠</w:t>
      </w:r>
      <w:r>
        <w:rPr>
          <w:rFonts w:eastAsia="仿宋_GB2312"/>
          <w:sz w:val="32"/>
          <w:szCs w:val="32"/>
        </w:rPr>
        <w:t>享受。</w:t>
      </w:r>
    </w:p>
    <w:p>
      <w:pPr>
        <w:spacing w:line="560" w:lineRule="exact"/>
        <w:ind w:firstLine="640" w:firstLineChars="200"/>
        <w:rPr>
          <w:rFonts w:eastAsia="仿宋_GB2312"/>
          <w:sz w:val="32"/>
          <w:szCs w:val="32"/>
        </w:rPr>
      </w:pPr>
      <w:r>
        <w:rPr>
          <w:rFonts w:eastAsia="黑体"/>
          <w:sz w:val="32"/>
          <w:szCs w:val="32"/>
        </w:rPr>
        <w:t xml:space="preserve">四、办理程序   </w:t>
      </w:r>
      <w:r>
        <w:rPr>
          <w:rFonts w:eastAsia="仿宋_GB2312"/>
          <w:sz w:val="32"/>
          <w:szCs w:val="32"/>
        </w:rPr>
        <w:t xml:space="preserve">                                                                                                                                                                                                                                                                                                                                                                                                                                                                                                                                                                                                                                                                                                                                                                                                                                                                                                                                                                                                                                                                                                                                                                                                   </w:t>
      </w:r>
    </w:p>
    <w:p>
      <w:pPr>
        <w:spacing w:line="560" w:lineRule="exact"/>
        <w:ind w:firstLine="640" w:firstLineChars="200"/>
        <w:rPr>
          <w:rFonts w:eastAsia="仿宋_GB2312"/>
          <w:sz w:val="32"/>
          <w:szCs w:val="32"/>
        </w:rPr>
      </w:pPr>
      <w:r>
        <w:rPr>
          <w:rFonts w:hint="eastAsia" w:ascii="楷体_GB2312" w:eastAsia="楷体_GB2312"/>
          <w:b/>
          <w:bCs/>
          <w:sz w:val="32"/>
          <w:szCs w:val="32"/>
        </w:rPr>
        <w:t>（一）信息录入。</w:t>
      </w:r>
      <w:r>
        <w:rPr>
          <w:rFonts w:eastAsia="仿宋_GB2312"/>
          <w:sz w:val="32"/>
          <w:szCs w:val="32"/>
        </w:rPr>
        <w:t>高龄普惠服务无需申请，属地街道主动发现并确认享受对象。失能失智照料服务及特殊对象服务由申请人本人向户籍地或居住地街道提出申请。因客观原因无法提出申请的，可由监护人、家庭成员或所在社区代为申请。</w:t>
      </w:r>
    </w:p>
    <w:p>
      <w:pPr>
        <w:spacing w:line="560" w:lineRule="exact"/>
        <w:ind w:firstLine="640" w:firstLineChars="200"/>
        <w:rPr>
          <w:rFonts w:eastAsia="仿宋_GB2312"/>
          <w:sz w:val="32"/>
          <w:szCs w:val="32"/>
        </w:rPr>
      </w:pPr>
      <w:r>
        <w:rPr>
          <w:rFonts w:ascii="楷体_GB2312" w:eastAsia="楷体_GB2312"/>
          <w:b/>
          <w:bCs/>
          <w:sz w:val="32"/>
          <w:szCs w:val="32"/>
        </w:rPr>
        <w:t>（二）受理评估。</w:t>
      </w:r>
      <w:r>
        <w:rPr>
          <w:rFonts w:eastAsia="仿宋_GB2312"/>
          <w:sz w:val="32"/>
          <w:szCs w:val="32"/>
        </w:rPr>
        <w:t>社区对于申请材料齐全、符合规定格式的应当场受理</w:t>
      </w:r>
      <w:r>
        <w:rPr>
          <w:rFonts w:hint="eastAsia" w:eastAsia="仿宋_GB2312"/>
          <w:sz w:val="32"/>
          <w:szCs w:val="32"/>
        </w:rPr>
        <w:t>；</w:t>
      </w:r>
      <w:r>
        <w:rPr>
          <w:rFonts w:eastAsia="仿宋_GB2312"/>
          <w:sz w:val="32"/>
          <w:szCs w:val="32"/>
        </w:rPr>
        <w:t>需要进行评估的</w:t>
      </w:r>
      <w:r>
        <w:rPr>
          <w:rFonts w:hint="eastAsia" w:eastAsia="仿宋_GB2312"/>
          <w:sz w:val="32"/>
          <w:szCs w:val="32"/>
        </w:rPr>
        <w:t>，在</w:t>
      </w:r>
      <w:r>
        <w:rPr>
          <w:rFonts w:eastAsia="仿宋_GB2312"/>
          <w:sz w:val="32"/>
          <w:szCs w:val="32"/>
        </w:rPr>
        <w:t>规定</w:t>
      </w:r>
      <w:r>
        <w:rPr>
          <w:rFonts w:hint="eastAsia" w:eastAsia="仿宋_GB2312"/>
          <w:sz w:val="32"/>
          <w:szCs w:val="32"/>
        </w:rPr>
        <w:t>的</w:t>
      </w:r>
      <w:r>
        <w:rPr>
          <w:rFonts w:eastAsia="仿宋_GB2312"/>
          <w:sz w:val="32"/>
          <w:szCs w:val="32"/>
        </w:rPr>
        <w:t>评估机构按照《浙江省困难老年人能力评估实施方案》进行评估。</w:t>
      </w:r>
      <w:r>
        <w:rPr>
          <w:rFonts w:hint="eastAsia" w:eastAsia="仿宋_GB2312"/>
          <w:sz w:val="32"/>
          <w:szCs w:val="32"/>
        </w:rPr>
        <w:t>若上级</w:t>
      </w:r>
      <w:r>
        <w:rPr>
          <w:rFonts w:eastAsia="仿宋_GB2312"/>
          <w:sz w:val="32"/>
          <w:szCs w:val="32"/>
        </w:rPr>
        <w:t>评估政策</w:t>
      </w:r>
      <w:r>
        <w:rPr>
          <w:rFonts w:hint="eastAsia" w:eastAsia="仿宋_GB2312"/>
          <w:sz w:val="32"/>
          <w:szCs w:val="32"/>
        </w:rPr>
        <w:t>发生</w:t>
      </w:r>
      <w:r>
        <w:rPr>
          <w:rFonts w:eastAsia="仿宋_GB2312"/>
          <w:sz w:val="32"/>
          <w:szCs w:val="32"/>
        </w:rPr>
        <w:t>变化的，从其规定。</w:t>
      </w:r>
    </w:p>
    <w:p>
      <w:pPr>
        <w:spacing w:line="560" w:lineRule="exact"/>
        <w:ind w:firstLine="640" w:firstLineChars="200"/>
        <w:rPr>
          <w:rFonts w:eastAsia="仿宋_GB2312"/>
          <w:sz w:val="32"/>
          <w:szCs w:val="32"/>
        </w:rPr>
      </w:pPr>
      <w:r>
        <w:rPr>
          <w:rFonts w:ascii="楷体_GB2312" w:eastAsia="楷体_GB2312"/>
          <w:b/>
          <w:bCs/>
          <w:sz w:val="32"/>
          <w:szCs w:val="32"/>
        </w:rPr>
        <w:t>（三）审核公示。</w:t>
      </w:r>
      <w:r>
        <w:rPr>
          <w:rFonts w:eastAsia="仿宋_GB2312"/>
          <w:sz w:val="32"/>
          <w:szCs w:val="32"/>
        </w:rPr>
        <w:t>街道根据申请材料和评估结果进行审核，审核结果</w:t>
      </w:r>
      <w:r>
        <w:rPr>
          <w:rFonts w:hint="eastAsia" w:eastAsia="仿宋_GB2312"/>
          <w:sz w:val="32"/>
          <w:szCs w:val="32"/>
        </w:rPr>
        <w:t>需</w:t>
      </w:r>
      <w:r>
        <w:rPr>
          <w:rFonts w:eastAsia="仿宋_GB2312"/>
          <w:sz w:val="32"/>
          <w:szCs w:val="32"/>
        </w:rPr>
        <w:t>在申请地社区公示。公示无异议的报区</w:t>
      </w:r>
      <w:r>
        <w:rPr>
          <w:rFonts w:hint="eastAsia" w:eastAsia="仿宋_GB2312"/>
          <w:sz w:val="32"/>
          <w:szCs w:val="32"/>
        </w:rPr>
        <w:t>民政局</w:t>
      </w:r>
      <w:r>
        <w:rPr>
          <w:rFonts w:eastAsia="仿宋_GB2312"/>
          <w:sz w:val="32"/>
          <w:szCs w:val="32"/>
        </w:rPr>
        <w:t>，群众有异议的应进行复核评估，复核评估结果为最终结果，复核评估后不符合条件的，书面通知申请对象。</w:t>
      </w:r>
    </w:p>
    <w:p>
      <w:pPr>
        <w:spacing w:line="560" w:lineRule="exact"/>
        <w:ind w:firstLine="640" w:firstLineChars="200"/>
        <w:rPr>
          <w:rFonts w:eastAsia="仿宋_GB2312"/>
          <w:sz w:val="32"/>
          <w:szCs w:val="32"/>
        </w:rPr>
      </w:pPr>
      <w:r>
        <w:rPr>
          <w:rFonts w:ascii="楷体_GB2312" w:eastAsia="楷体_GB2312"/>
          <w:b/>
          <w:bCs/>
          <w:sz w:val="32"/>
          <w:szCs w:val="32"/>
        </w:rPr>
        <w:t>（四）审批。</w:t>
      </w:r>
      <w:r>
        <w:rPr>
          <w:rFonts w:hint="eastAsia" w:eastAsia="仿宋_GB2312"/>
          <w:sz w:val="32"/>
          <w:szCs w:val="32"/>
        </w:rPr>
        <w:t>区民政局</w:t>
      </w:r>
      <w:r>
        <w:rPr>
          <w:rFonts w:eastAsia="仿宋_GB2312"/>
          <w:sz w:val="32"/>
          <w:szCs w:val="32"/>
        </w:rPr>
        <w:t>对街道上报的材料进行审批，审批通过的，从批准之日次月起享受；审批未通过的，由街道书面通知申请人，申请人可在6个月后再次申请。</w:t>
      </w:r>
    </w:p>
    <w:p>
      <w:pPr>
        <w:spacing w:line="560" w:lineRule="exact"/>
        <w:ind w:firstLine="640" w:firstLineChars="200"/>
        <w:rPr>
          <w:rFonts w:eastAsia="仿宋_GB2312"/>
          <w:sz w:val="32"/>
          <w:szCs w:val="32"/>
        </w:rPr>
      </w:pPr>
      <w:r>
        <w:rPr>
          <w:rFonts w:ascii="楷体_GB2312" w:eastAsia="楷体_GB2312"/>
          <w:b/>
          <w:bCs/>
          <w:sz w:val="32"/>
          <w:szCs w:val="32"/>
        </w:rPr>
        <w:t>（五）清退。</w:t>
      </w:r>
      <w:r>
        <w:rPr>
          <w:rFonts w:eastAsia="仿宋_GB2312"/>
          <w:sz w:val="32"/>
          <w:szCs w:val="32"/>
        </w:rPr>
        <w:t>养老服务专户实行动态管理，街道应及时清退不符合条件的对象。老人去世次月停发养老服务电子津贴并停止使用社保卡（市民卡）养老服务专户，养老服务电子津贴失效。</w:t>
      </w:r>
    </w:p>
    <w:p>
      <w:pPr>
        <w:spacing w:line="560" w:lineRule="exact"/>
        <w:ind w:firstLine="640" w:firstLineChars="200"/>
        <w:rPr>
          <w:rFonts w:eastAsia="黑体"/>
          <w:sz w:val="32"/>
          <w:szCs w:val="32"/>
        </w:rPr>
      </w:pPr>
      <w:r>
        <w:rPr>
          <w:rFonts w:eastAsia="黑体"/>
          <w:sz w:val="32"/>
          <w:szCs w:val="32"/>
        </w:rPr>
        <w:t>五、服务标准及要求</w:t>
      </w:r>
    </w:p>
    <w:p>
      <w:pPr>
        <w:spacing w:line="560" w:lineRule="exact"/>
        <w:ind w:firstLine="640" w:firstLineChars="200"/>
        <w:rPr>
          <w:rFonts w:eastAsia="仿宋_GB2312"/>
          <w:sz w:val="32"/>
          <w:szCs w:val="32"/>
        </w:rPr>
      </w:pPr>
      <w:r>
        <w:rPr>
          <w:rFonts w:eastAsia="仿宋_GB2312"/>
          <w:sz w:val="32"/>
          <w:szCs w:val="32"/>
        </w:rPr>
        <w:t>区民政局择优选择居家养老服务组织，签订《拱墅区居家养老综合服务平台服务商入驻协议》。居家养老服务组织为服务对象提供服务，其管理要求、服务内容与要求、服务质量评价与改进等按照《居家养老服务质量规范》（DB3301/T 0315—2020）执行。区民政局、各街道对居家养老服务组织的服务质量进行检查测评，对年度服务满意度达不到80%的，或有效投诉达3次及以上的，停止续签入驻协议。一经发现存在非法骗取套取政府财政资金等影响恶劣的行为，依照相关规定处罚。</w:t>
      </w:r>
    </w:p>
    <w:p>
      <w:pPr>
        <w:spacing w:line="560" w:lineRule="exact"/>
        <w:ind w:firstLine="640" w:firstLineChars="200"/>
        <w:rPr>
          <w:rFonts w:eastAsia="黑体"/>
          <w:sz w:val="32"/>
          <w:szCs w:val="32"/>
        </w:rPr>
      </w:pPr>
      <w:r>
        <w:rPr>
          <w:rFonts w:eastAsia="黑体"/>
          <w:sz w:val="32"/>
          <w:szCs w:val="32"/>
        </w:rPr>
        <w:t>六、其他事项</w:t>
      </w:r>
    </w:p>
    <w:p>
      <w:pPr>
        <w:spacing w:line="560" w:lineRule="exact"/>
        <w:ind w:firstLine="640" w:firstLineChars="200"/>
        <w:rPr>
          <w:rFonts w:eastAsia="仿宋_GB2312"/>
          <w:sz w:val="32"/>
          <w:szCs w:val="32"/>
        </w:rPr>
      </w:pPr>
      <w:r>
        <w:rPr>
          <w:rFonts w:eastAsia="仿宋_GB2312"/>
          <w:sz w:val="32"/>
          <w:szCs w:val="32"/>
        </w:rPr>
        <w:t>（一）积极探索电子津贴抵缴入住本区养老机构床位费、护理费等服务开支，探索开展长期住院老人在本区医疗机构使用电子津贴抵扣护工服务费用。</w:t>
      </w:r>
    </w:p>
    <w:p>
      <w:pPr>
        <w:spacing w:line="560" w:lineRule="exact"/>
        <w:ind w:firstLine="640" w:firstLineChars="200"/>
        <w:rPr>
          <w:rFonts w:eastAsia="仿宋_GB2312"/>
          <w:sz w:val="32"/>
          <w:szCs w:val="32"/>
        </w:rPr>
      </w:pPr>
      <w:r>
        <w:rPr>
          <w:rFonts w:eastAsia="仿宋_GB2312"/>
          <w:sz w:val="32"/>
          <w:szCs w:val="32"/>
        </w:rPr>
        <w:t>（二）人户分离的老年人，其户籍地在我区的，可委托居住地民政局负责评估，电子津贴发放按照我区相关规定执行。</w:t>
      </w:r>
    </w:p>
    <w:p>
      <w:pPr>
        <w:spacing w:line="560" w:lineRule="exact"/>
        <w:ind w:firstLine="640" w:firstLineChars="200"/>
        <w:rPr>
          <w:rFonts w:eastAsia="仿宋_GB2312"/>
          <w:sz w:val="32"/>
          <w:szCs w:val="32"/>
        </w:rPr>
      </w:pPr>
      <w:r>
        <w:rPr>
          <w:rFonts w:eastAsia="仿宋_GB2312"/>
          <w:sz w:val="32"/>
          <w:szCs w:val="32"/>
        </w:rPr>
        <w:t>（三）老年人能力首次评估评估费用由区财政保障</w:t>
      </w:r>
      <w:r>
        <w:rPr>
          <w:rFonts w:hint="eastAsia" w:eastAsia="仿宋_GB2312"/>
          <w:sz w:val="32"/>
          <w:szCs w:val="32"/>
        </w:rPr>
        <w:t>，</w:t>
      </w:r>
      <w:r>
        <w:rPr>
          <w:rFonts w:eastAsia="仿宋_GB2312"/>
          <w:sz w:val="32"/>
          <w:szCs w:val="32"/>
        </w:rPr>
        <w:t>再次评估或对评估结果有异议且复核评估维持原结果的，评估费用由老人自理，可使用养老服务电子津贴抵扣。</w:t>
      </w:r>
    </w:p>
    <w:p>
      <w:pPr>
        <w:spacing w:line="560" w:lineRule="exact"/>
        <w:ind w:firstLine="640" w:firstLineChars="200"/>
        <w:rPr>
          <w:rFonts w:eastAsia="仿宋_GB2312"/>
          <w:sz w:val="32"/>
          <w:szCs w:val="32"/>
        </w:rPr>
      </w:pPr>
      <w:r>
        <w:rPr>
          <w:rFonts w:eastAsia="仿宋_GB2312"/>
          <w:sz w:val="32"/>
          <w:szCs w:val="32"/>
        </w:rPr>
        <w:t>（四）享受对象提供虚假材料或做虚假陈述经查实的，责令退回非法获取的津贴，并根据相关规定进行处罚。</w:t>
      </w:r>
    </w:p>
    <w:p>
      <w:pPr>
        <w:spacing w:line="560" w:lineRule="exact"/>
        <w:ind w:firstLine="640" w:firstLineChars="200"/>
        <w:rPr>
          <w:rFonts w:eastAsia="黑体"/>
          <w:sz w:val="32"/>
          <w:szCs w:val="32"/>
        </w:rPr>
      </w:pPr>
      <w:r>
        <w:rPr>
          <w:rFonts w:eastAsia="黑体"/>
          <w:sz w:val="32"/>
          <w:szCs w:val="32"/>
        </w:rPr>
        <w:t>七、工作要求</w:t>
      </w:r>
    </w:p>
    <w:p>
      <w:pPr>
        <w:spacing w:line="560" w:lineRule="exact"/>
        <w:ind w:firstLine="640" w:firstLineChars="200"/>
        <w:rPr>
          <w:rFonts w:eastAsia="仿宋_GB2312"/>
          <w:sz w:val="32"/>
          <w:szCs w:val="32"/>
        </w:rPr>
      </w:pPr>
      <w:r>
        <w:rPr>
          <w:rFonts w:eastAsia="楷体_GB2312"/>
          <w:b/>
          <w:bCs/>
          <w:sz w:val="32"/>
          <w:szCs w:val="32"/>
        </w:rPr>
        <w:t>（一）加强组织领导。</w:t>
      </w:r>
      <w:r>
        <w:rPr>
          <w:rFonts w:hint="eastAsia" w:eastAsia="楷体_GB2312"/>
          <w:bCs/>
          <w:sz w:val="32"/>
          <w:szCs w:val="32"/>
        </w:rPr>
        <w:t>各单位、</w:t>
      </w:r>
      <w:r>
        <w:rPr>
          <w:rFonts w:eastAsia="仿宋_GB2312"/>
          <w:sz w:val="32"/>
          <w:szCs w:val="32"/>
        </w:rPr>
        <w:t>各街道要高度重视老年人服务保障，通过实施养老服务电子津贴增加服务供给、提高服务质量，促进幸福颐养示范区建设。</w:t>
      </w:r>
    </w:p>
    <w:p>
      <w:pPr>
        <w:spacing w:line="560" w:lineRule="exact"/>
        <w:ind w:firstLine="640" w:firstLineChars="200"/>
        <w:rPr>
          <w:rFonts w:eastAsia="仿宋_GB2312"/>
          <w:sz w:val="32"/>
          <w:szCs w:val="32"/>
        </w:rPr>
      </w:pPr>
      <w:r>
        <w:rPr>
          <w:rFonts w:eastAsia="楷体_GB2312"/>
          <w:b/>
          <w:bCs/>
          <w:sz w:val="32"/>
          <w:szCs w:val="32"/>
        </w:rPr>
        <w:t>（二）加强资金保障。</w:t>
      </w:r>
      <w:r>
        <w:rPr>
          <w:rFonts w:eastAsia="仿宋_GB2312"/>
          <w:sz w:val="32"/>
          <w:szCs w:val="32"/>
        </w:rPr>
        <w:t>完善养老服务</w:t>
      </w:r>
      <w:r>
        <w:rPr>
          <w:rFonts w:hint="eastAsia" w:eastAsia="仿宋_GB2312"/>
          <w:sz w:val="32"/>
          <w:szCs w:val="32"/>
        </w:rPr>
        <w:t>电子津贴</w:t>
      </w:r>
      <w:r>
        <w:rPr>
          <w:rFonts w:eastAsia="仿宋_GB2312"/>
          <w:sz w:val="32"/>
          <w:szCs w:val="32"/>
        </w:rPr>
        <w:t>的投入机制，将养老服务</w:t>
      </w:r>
      <w:r>
        <w:rPr>
          <w:rFonts w:hint="eastAsia" w:eastAsia="仿宋_GB2312"/>
          <w:sz w:val="32"/>
          <w:szCs w:val="32"/>
        </w:rPr>
        <w:t>电子津贴</w:t>
      </w:r>
      <w:r>
        <w:rPr>
          <w:rFonts w:eastAsia="仿宋_GB2312"/>
          <w:sz w:val="32"/>
          <w:szCs w:val="32"/>
        </w:rPr>
        <w:t>所需资金纳入</w:t>
      </w:r>
      <w:r>
        <w:rPr>
          <w:rFonts w:hint="eastAsia" w:eastAsia="仿宋_GB2312"/>
          <w:sz w:val="32"/>
          <w:szCs w:val="32"/>
        </w:rPr>
        <w:t>年度</w:t>
      </w:r>
      <w:r>
        <w:rPr>
          <w:rFonts w:eastAsia="仿宋_GB2312"/>
          <w:sz w:val="32"/>
          <w:szCs w:val="32"/>
        </w:rPr>
        <w:t>预算</w:t>
      </w:r>
      <w:r>
        <w:rPr>
          <w:rFonts w:hint="eastAsia" w:eastAsia="仿宋_GB2312"/>
          <w:sz w:val="32"/>
          <w:szCs w:val="32"/>
        </w:rPr>
        <w:t>，并</w:t>
      </w:r>
      <w:r>
        <w:rPr>
          <w:rFonts w:eastAsia="仿宋_GB2312"/>
          <w:sz w:val="32"/>
          <w:szCs w:val="32"/>
        </w:rPr>
        <w:t>按照区</w:t>
      </w:r>
      <w:r>
        <w:rPr>
          <w:rFonts w:hint="eastAsia" w:eastAsia="仿宋_GB2312"/>
          <w:sz w:val="32"/>
          <w:szCs w:val="32"/>
        </w:rPr>
        <w:t>本级</w:t>
      </w:r>
      <w:r>
        <w:rPr>
          <w:rFonts w:eastAsia="仿宋_GB2312"/>
          <w:sz w:val="32"/>
          <w:szCs w:val="32"/>
        </w:rPr>
        <w:t>财政承担50%、各街道承担50%的</w:t>
      </w:r>
      <w:r>
        <w:rPr>
          <w:rFonts w:hint="eastAsia" w:eastAsia="仿宋_GB2312"/>
          <w:sz w:val="32"/>
          <w:szCs w:val="32"/>
        </w:rPr>
        <w:t>比例纳入体制结算</w:t>
      </w:r>
      <w:r>
        <w:rPr>
          <w:rFonts w:eastAsia="仿宋_GB2312"/>
          <w:sz w:val="32"/>
          <w:szCs w:val="32"/>
        </w:rPr>
        <w:t>。</w:t>
      </w:r>
    </w:p>
    <w:p>
      <w:pPr>
        <w:spacing w:line="560" w:lineRule="exact"/>
        <w:ind w:firstLine="640" w:firstLineChars="200"/>
        <w:rPr>
          <w:rFonts w:eastAsia="仿宋_GB2312"/>
          <w:sz w:val="32"/>
          <w:szCs w:val="32"/>
        </w:rPr>
      </w:pPr>
      <w:r>
        <w:rPr>
          <w:rFonts w:eastAsia="楷体_GB2312"/>
          <w:b/>
          <w:bCs/>
          <w:sz w:val="32"/>
          <w:szCs w:val="32"/>
        </w:rPr>
        <w:t>（三）加强监督管理。</w:t>
      </w:r>
      <w:r>
        <w:rPr>
          <w:rFonts w:hint="eastAsia" w:eastAsia="楷体_GB2312"/>
          <w:bCs/>
          <w:sz w:val="32"/>
          <w:szCs w:val="32"/>
        </w:rPr>
        <w:t>区有关部门和</w:t>
      </w:r>
      <w:r>
        <w:rPr>
          <w:rFonts w:eastAsia="仿宋_GB2312"/>
          <w:sz w:val="32"/>
          <w:szCs w:val="32"/>
        </w:rPr>
        <w:t>各街道要落实主体责任，加强资金使用管理，组织专项检查和抽查，杜绝出现挤占、挪用、截留和套取</w:t>
      </w:r>
      <w:r>
        <w:rPr>
          <w:rFonts w:hint="eastAsia" w:eastAsia="仿宋_GB2312"/>
          <w:sz w:val="32"/>
          <w:szCs w:val="32"/>
        </w:rPr>
        <w:t>行为</w:t>
      </w:r>
      <w:r>
        <w:rPr>
          <w:rFonts w:eastAsia="仿宋_GB2312"/>
          <w:sz w:val="32"/>
          <w:szCs w:val="32"/>
        </w:rPr>
        <w:t>，自觉接受社会监督和审计部门</w:t>
      </w:r>
      <w:r>
        <w:rPr>
          <w:rFonts w:hint="eastAsia" w:eastAsia="仿宋_GB2312"/>
          <w:sz w:val="32"/>
          <w:szCs w:val="32"/>
        </w:rPr>
        <w:t>的</w:t>
      </w:r>
      <w:r>
        <w:rPr>
          <w:rFonts w:eastAsia="仿宋_GB2312"/>
          <w:sz w:val="32"/>
          <w:szCs w:val="32"/>
        </w:rPr>
        <w:t>审计。</w:t>
      </w:r>
    </w:p>
    <w:p>
      <w:pPr>
        <w:pStyle w:val="2"/>
        <w:spacing w:line="560" w:lineRule="exact"/>
        <w:jc w:val="left"/>
        <w:rPr>
          <w:rFonts w:eastAsia="仿宋_GB2312"/>
          <w:b w:val="0"/>
          <w:bCs w:val="0"/>
          <w:sz w:val="32"/>
          <w:szCs w:val="32"/>
        </w:rPr>
      </w:pPr>
      <w:r>
        <w:rPr>
          <w:rFonts w:hint="eastAsia" w:eastAsia="仿宋_GB2312"/>
          <w:sz w:val="32"/>
          <w:szCs w:val="32"/>
        </w:rPr>
        <w:t xml:space="preserve">    </w:t>
      </w:r>
      <w:r>
        <w:rPr>
          <w:rFonts w:hint="eastAsia" w:ascii="楷体_GB2312" w:eastAsia="楷体_GB2312"/>
          <w:sz w:val="32"/>
          <w:szCs w:val="32"/>
        </w:rPr>
        <w:t>（四）提高资金绩效。</w:t>
      </w:r>
      <w:r>
        <w:rPr>
          <w:rFonts w:eastAsia="仿宋_GB2312"/>
          <w:b w:val="0"/>
          <w:bCs w:val="0"/>
          <w:sz w:val="32"/>
          <w:szCs w:val="32"/>
        </w:rPr>
        <w:t>各街道要充分挖掘为老服务资源，将目前已有的居家机构运营服务、社区助老员走访探视、助餐等服务进行整合，加强养老服务志愿者队伍和“时间银行”建设，提高财政资金使用绩效。</w:t>
      </w:r>
    </w:p>
    <w:p>
      <w:pPr>
        <w:spacing w:line="560" w:lineRule="exact"/>
        <w:ind w:firstLine="640" w:firstLineChars="200"/>
        <w:rPr>
          <w:rFonts w:eastAsia="仿宋_GB2312"/>
          <w:sz w:val="32"/>
          <w:szCs w:val="32"/>
        </w:rPr>
      </w:pPr>
      <w:r>
        <w:rPr>
          <w:rFonts w:eastAsia="楷体_GB2312"/>
          <w:b/>
          <w:bCs/>
          <w:sz w:val="32"/>
          <w:szCs w:val="32"/>
        </w:rPr>
        <w:t>（</w:t>
      </w:r>
      <w:r>
        <w:rPr>
          <w:rFonts w:hint="eastAsia" w:eastAsia="楷体_GB2312"/>
          <w:b/>
          <w:bCs/>
          <w:sz w:val="32"/>
          <w:szCs w:val="32"/>
        </w:rPr>
        <w:t>五</w:t>
      </w:r>
      <w:r>
        <w:rPr>
          <w:rFonts w:eastAsia="楷体_GB2312"/>
          <w:b/>
          <w:bCs/>
          <w:sz w:val="32"/>
          <w:szCs w:val="32"/>
        </w:rPr>
        <w:t>）加强宣传引导。</w:t>
      </w:r>
      <w:r>
        <w:rPr>
          <w:rFonts w:eastAsia="仿宋_GB2312"/>
          <w:sz w:val="32"/>
          <w:szCs w:val="32"/>
        </w:rPr>
        <w:t>各街道、社区要贯彻落实“最多跑一次”要求，通过多种途径和媒介对养老服务电子津贴制度进行宣传、解释，使老年人及家属知晓制度内容和办理程序，营造关心、关爱老年人的良好社会氛围。</w:t>
      </w:r>
    </w:p>
    <w:p>
      <w:pPr>
        <w:spacing w:line="560" w:lineRule="exact"/>
        <w:ind w:firstLine="640" w:firstLineChars="200"/>
        <w:rPr>
          <w:rFonts w:eastAsia="黑体"/>
          <w:sz w:val="32"/>
          <w:szCs w:val="32"/>
        </w:rPr>
      </w:pPr>
      <w:r>
        <w:rPr>
          <w:rFonts w:eastAsia="黑体"/>
          <w:sz w:val="32"/>
          <w:szCs w:val="32"/>
        </w:rPr>
        <w:t>八、实施时间</w:t>
      </w:r>
    </w:p>
    <w:p>
      <w:pPr>
        <w:tabs>
          <w:tab w:val="left" w:pos="6050"/>
        </w:tabs>
        <w:adjustRightInd w:val="0"/>
        <w:snapToGrid w:val="0"/>
        <w:spacing w:line="560" w:lineRule="exact"/>
        <w:ind w:firstLine="640" w:firstLineChars="200"/>
        <w:rPr>
          <w:rFonts w:eastAsia="仿宋_GB2312"/>
          <w:sz w:val="32"/>
          <w:szCs w:val="32"/>
        </w:rPr>
      </w:pPr>
      <w:r>
        <w:rPr>
          <w:rFonts w:eastAsia="仿宋_GB2312"/>
          <w:sz w:val="32"/>
          <w:szCs w:val="32"/>
        </w:rPr>
        <w:t>本制度自2022年5月13日起实施</w:t>
      </w:r>
      <w:bookmarkStart w:id="3" w:name="_GoBack"/>
      <w:bookmarkEnd w:id="3"/>
      <w:r>
        <w:rPr>
          <w:rFonts w:eastAsia="仿宋_GB2312"/>
          <w:sz w:val="32"/>
          <w:szCs w:val="32"/>
        </w:rPr>
        <w:t>。</w:t>
      </w:r>
    </w:p>
    <w:p>
      <w:pPr>
        <w:tabs>
          <w:tab w:val="left" w:pos="6050"/>
        </w:tabs>
        <w:adjustRightInd w:val="0"/>
        <w:snapToGrid w:val="0"/>
        <w:spacing w:line="560" w:lineRule="exact"/>
        <w:ind w:firstLine="640" w:firstLineChars="200"/>
        <w:rPr>
          <w:rFonts w:eastAsia="仿宋_GB2312"/>
          <w:sz w:val="32"/>
          <w:szCs w:val="32"/>
        </w:rPr>
      </w:pPr>
    </w:p>
    <w:p>
      <w:pPr>
        <w:snapToGrid w:val="0"/>
        <w:spacing w:line="540" w:lineRule="exact"/>
        <w:ind w:firstLine="640" w:firstLineChars="200"/>
        <w:textAlignment w:val="baseline"/>
        <w:rPr>
          <w:rFonts w:ascii="仿宋_GB2312" w:eastAsia="仿宋_GB2312"/>
          <w:sz w:val="32"/>
          <w:szCs w:val="32"/>
        </w:rPr>
      </w:pPr>
    </w:p>
    <w:p>
      <w:pPr>
        <w:snapToGrid w:val="0"/>
        <w:spacing w:line="540" w:lineRule="exact"/>
        <w:ind w:firstLine="640" w:firstLineChars="200"/>
        <w:textAlignment w:val="baseline"/>
        <w:rPr>
          <w:rFonts w:ascii="仿宋_GB2312" w:eastAsia="仿宋_GB2312"/>
          <w:sz w:val="32"/>
          <w:szCs w:val="32"/>
        </w:rPr>
      </w:pPr>
      <w:r>
        <w:rPr>
          <w:rFonts w:hint="eastAsia" w:ascii="仿宋_GB2312" w:eastAsia="仿宋_GB2312"/>
          <w:sz w:val="32"/>
          <w:szCs w:val="32"/>
        </w:rPr>
        <w:t xml:space="preserve">杭州市拱墅区民政局 </w:t>
      </w:r>
      <w:r>
        <w:rPr>
          <w:rFonts w:ascii="仿宋_GB2312" w:eastAsia="仿宋_GB2312"/>
          <w:sz w:val="32"/>
          <w:szCs w:val="32"/>
        </w:rPr>
        <w:t xml:space="preserve">          </w:t>
      </w:r>
      <w:r>
        <w:rPr>
          <w:rFonts w:hint="eastAsia" w:ascii="仿宋_GB2312" w:eastAsia="仿宋_GB2312"/>
          <w:sz w:val="32"/>
          <w:szCs w:val="32"/>
        </w:rPr>
        <w:t>杭州市拱墅区财政局</w:t>
      </w:r>
    </w:p>
    <w:p>
      <w:pPr>
        <w:snapToGrid w:val="0"/>
        <w:spacing w:line="540" w:lineRule="exact"/>
        <w:ind w:right="840" w:rightChars="400" w:firstLine="640" w:firstLineChars="200"/>
        <w:textAlignment w:val="baseline"/>
        <w:rPr>
          <w:rFonts w:eastAsia="黑体"/>
          <w:sz w:val="31"/>
          <w:szCs w:val="31"/>
        </w:rPr>
      </w:pPr>
      <w:r>
        <w:rPr>
          <w:rFonts w:hint="eastAsia" w:ascii="仿宋_GB2312" w:eastAsia="仿宋_GB2312"/>
          <w:sz w:val="32"/>
          <w:szCs w:val="32"/>
        </w:rPr>
        <w:t xml:space="preserve"> </w:t>
      </w:r>
      <w:r>
        <w:rPr>
          <w:rFonts w:ascii="仿宋_GB2312" w:eastAsia="仿宋_GB2312"/>
          <w:sz w:val="32"/>
          <w:szCs w:val="32"/>
        </w:rPr>
        <w:t xml:space="preserve">                             2022</w:t>
      </w:r>
      <w:r>
        <w:rPr>
          <w:rFonts w:hint="eastAsia" w:ascii="仿宋_GB2312" w:eastAsia="仿宋_GB2312"/>
          <w:sz w:val="32"/>
          <w:szCs w:val="32"/>
        </w:rPr>
        <w:t>年</w:t>
      </w:r>
      <w:r>
        <w:rPr>
          <w:rFonts w:hint="default" w:ascii="仿宋_GB2312" w:eastAsia="仿宋_GB2312"/>
          <w:sz w:val="32"/>
          <w:szCs w:val="32"/>
        </w:rPr>
        <w:t>4</w:t>
      </w:r>
      <w:r>
        <w:rPr>
          <w:rFonts w:hint="eastAsia" w:ascii="仿宋_GB2312" w:eastAsia="仿宋_GB2312"/>
          <w:sz w:val="32"/>
          <w:szCs w:val="32"/>
        </w:rPr>
        <w:t>月</w:t>
      </w:r>
      <w:r>
        <w:rPr>
          <w:rFonts w:hint="default" w:ascii="仿宋_GB2312" w:eastAsia="仿宋_GB2312"/>
          <w:sz w:val="32"/>
          <w:szCs w:val="32"/>
        </w:rPr>
        <w:t>13</w:t>
      </w:r>
      <w:r>
        <w:rPr>
          <w:rFonts w:hint="eastAsia" w:ascii="仿宋_GB2312" w:eastAsia="仿宋_GB2312"/>
          <w:sz w:val="32"/>
          <w:szCs w:val="32"/>
        </w:rPr>
        <w:t>日</w:t>
      </w:r>
    </w:p>
    <w:tbl>
      <w:tblPr>
        <w:tblStyle w:val="7"/>
        <w:tblpPr w:leftFromText="180" w:rightFromText="180" w:vertAnchor="text" w:horzAnchor="margin" w:tblpY="6549"/>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4" w:hRule="exact"/>
        </w:trPr>
        <w:tc>
          <w:tcPr>
            <w:tcW w:w="8844" w:type="dxa"/>
            <w:vAlign w:val="center"/>
          </w:tcPr>
          <w:p>
            <w:pPr>
              <w:spacing w:line="560" w:lineRule="exact"/>
              <w:ind w:left="420" w:leftChars="200" w:right="420" w:rightChars="200"/>
              <w:rPr>
                <w:rFonts w:ascii="仿宋_GB2312" w:eastAsia="仿宋_GB2312"/>
                <w:sz w:val="28"/>
                <w:szCs w:val="28"/>
              </w:rPr>
            </w:pPr>
            <w:bookmarkStart w:id="2" w:name="_Hlk95310557"/>
            <w:r>
              <w:rPr>
                <w:rFonts w:hint="eastAsia" w:ascii="仿宋_GB2312" w:eastAsia="仿宋_GB2312"/>
                <w:sz w:val="28"/>
                <w:szCs w:val="28"/>
              </w:rPr>
              <w:t>杭州市拱墅区民政局办公室            2022年</w:t>
            </w:r>
            <w:r>
              <w:rPr>
                <w:rFonts w:hint="default" w:ascii="仿宋_GB2312" w:eastAsia="仿宋_GB2312"/>
                <w:sz w:val="28"/>
                <w:szCs w:val="28"/>
              </w:rPr>
              <w:t>4</w:t>
            </w:r>
            <w:r>
              <w:rPr>
                <w:rFonts w:hint="eastAsia" w:ascii="仿宋_GB2312" w:eastAsia="仿宋_GB2312"/>
                <w:sz w:val="28"/>
                <w:szCs w:val="28"/>
              </w:rPr>
              <w:t>月</w:t>
            </w:r>
            <w:r>
              <w:rPr>
                <w:rFonts w:hint="default" w:ascii="仿宋_GB2312" w:eastAsia="仿宋_GB2312"/>
                <w:sz w:val="28"/>
                <w:szCs w:val="28"/>
              </w:rPr>
              <w:t>13</w:t>
            </w:r>
            <w:r>
              <w:rPr>
                <w:rFonts w:hint="eastAsia" w:ascii="仿宋_GB2312" w:eastAsia="仿宋_GB2312"/>
                <w:sz w:val="28"/>
                <w:szCs w:val="28"/>
              </w:rPr>
              <w:t>日印发</w:t>
            </w:r>
          </w:p>
        </w:tc>
      </w:tr>
      <w:bookmarkEnd w:id="2"/>
    </w:tbl>
    <w:p>
      <w:pPr>
        <w:tabs>
          <w:tab w:val="left" w:pos="6050"/>
        </w:tabs>
        <w:adjustRightInd w:val="0"/>
        <w:snapToGrid w:val="0"/>
        <w:spacing w:line="560" w:lineRule="exact"/>
        <w:ind w:firstLine="600" w:firstLineChars="200"/>
      </w:pPr>
      <w:r>
        <w:rPr>
          <w:rFonts w:eastAsia="仿宋"/>
          <w:sz w:val="30"/>
          <w:szCs w:val="30"/>
        </w:rPr>
        <w:t xml:space="preserve">                                                  </w:t>
      </w:r>
    </w:p>
    <w:sectPr>
      <w:footerReference r:id="rId3" w:type="default"/>
      <w:footerReference r:id="rId4" w:type="even"/>
      <w:pgSz w:w="11906" w:h="16838"/>
      <w:pgMar w:top="2098" w:right="1474" w:bottom="1985"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rFonts w:ascii="宋体" w:hAnsi="宋体"/>
        <w:sz w:val="28"/>
        <w:szCs w:val="28"/>
      </w:rPr>
    </w:sdtEndPr>
    <w:sdtContent>
      <w:p>
        <w:pPr>
          <w:pStyle w:val="5"/>
          <w:jc w:val="right"/>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4640046"/>
    </w:sdtPr>
    <w:sdtEndPr>
      <w:rPr>
        <w:rFonts w:ascii="宋体" w:hAnsi="宋体"/>
        <w:sz w:val="28"/>
        <w:szCs w:val="28"/>
      </w:rPr>
    </w:sdtEndPr>
    <w:sdtContent>
      <w:p>
        <w:pPr>
          <w:pStyle w:val="5"/>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2MDAyNGE2Mzg1M2EzODVkYzhkMzdkNDY2MWM5ZTYifQ=="/>
  </w:docVars>
  <w:rsids>
    <w:rsidRoot w:val="00A40EBE"/>
    <w:rsid w:val="00022A11"/>
    <w:rsid w:val="00075A86"/>
    <w:rsid w:val="001141E6"/>
    <w:rsid w:val="0015730B"/>
    <w:rsid w:val="001601CC"/>
    <w:rsid w:val="00191E03"/>
    <w:rsid w:val="001B7E41"/>
    <w:rsid w:val="001D441D"/>
    <w:rsid w:val="00212F24"/>
    <w:rsid w:val="00245646"/>
    <w:rsid w:val="002738FD"/>
    <w:rsid w:val="002977D7"/>
    <w:rsid w:val="002C5497"/>
    <w:rsid w:val="002D3374"/>
    <w:rsid w:val="003C1A95"/>
    <w:rsid w:val="003C7A8C"/>
    <w:rsid w:val="003F7A84"/>
    <w:rsid w:val="00403017"/>
    <w:rsid w:val="004620BC"/>
    <w:rsid w:val="004F3787"/>
    <w:rsid w:val="00515A81"/>
    <w:rsid w:val="00543D57"/>
    <w:rsid w:val="00566830"/>
    <w:rsid w:val="00577834"/>
    <w:rsid w:val="005848EE"/>
    <w:rsid w:val="005B7AEC"/>
    <w:rsid w:val="005C0329"/>
    <w:rsid w:val="0060417F"/>
    <w:rsid w:val="006207FF"/>
    <w:rsid w:val="006C5A68"/>
    <w:rsid w:val="00785BDA"/>
    <w:rsid w:val="007A4156"/>
    <w:rsid w:val="007F51A8"/>
    <w:rsid w:val="008211E3"/>
    <w:rsid w:val="00823114"/>
    <w:rsid w:val="008360AA"/>
    <w:rsid w:val="00841D41"/>
    <w:rsid w:val="00847D23"/>
    <w:rsid w:val="00854BB3"/>
    <w:rsid w:val="0086765B"/>
    <w:rsid w:val="008B4FFD"/>
    <w:rsid w:val="009320FF"/>
    <w:rsid w:val="009449A0"/>
    <w:rsid w:val="009E2F57"/>
    <w:rsid w:val="00A0754E"/>
    <w:rsid w:val="00A40EBE"/>
    <w:rsid w:val="00A779CD"/>
    <w:rsid w:val="00AB6ACC"/>
    <w:rsid w:val="00B818F7"/>
    <w:rsid w:val="00BB79DB"/>
    <w:rsid w:val="00C02710"/>
    <w:rsid w:val="00C155CC"/>
    <w:rsid w:val="00C24BC0"/>
    <w:rsid w:val="00C30234"/>
    <w:rsid w:val="00C349BD"/>
    <w:rsid w:val="00C4445A"/>
    <w:rsid w:val="00CC16BF"/>
    <w:rsid w:val="00CC6927"/>
    <w:rsid w:val="00D04251"/>
    <w:rsid w:val="00D62AEC"/>
    <w:rsid w:val="00D725A7"/>
    <w:rsid w:val="00D75EFC"/>
    <w:rsid w:val="00D86209"/>
    <w:rsid w:val="00DB6398"/>
    <w:rsid w:val="00E27156"/>
    <w:rsid w:val="00E36E29"/>
    <w:rsid w:val="00E42B74"/>
    <w:rsid w:val="00E714CD"/>
    <w:rsid w:val="00EC7FA5"/>
    <w:rsid w:val="00EF2D84"/>
    <w:rsid w:val="00F02D88"/>
    <w:rsid w:val="00F410DE"/>
    <w:rsid w:val="00F97A59"/>
    <w:rsid w:val="00FB221D"/>
    <w:rsid w:val="00FC42CB"/>
    <w:rsid w:val="013F4C10"/>
    <w:rsid w:val="01491FB8"/>
    <w:rsid w:val="042D64F5"/>
    <w:rsid w:val="0461540B"/>
    <w:rsid w:val="05457553"/>
    <w:rsid w:val="05AB1E25"/>
    <w:rsid w:val="06400992"/>
    <w:rsid w:val="07177AFA"/>
    <w:rsid w:val="080A7C9F"/>
    <w:rsid w:val="084F250D"/>
    <w:rsid w:val="086D7D01"/>
    <w:rsid w:val="08A82102"/>
    <w:rsid w:val="08FB4B51"/>
    <w:rsid w:val="0ABF5028"/>
    <w:rsid w:val="0C9A526D"/>
    <w:rsid w:val="0E9E2B23"/>
    <w:rsid w:val="116A34BA"/>
    <w:rsid w:val="14102E9A"/>
    <w:rsid w:val="14422FE7"/>
    <w:rsid w:val="164A10FE"/>
    <w:rsid w:val="174A5AEA"/>
    <w:rsid w:val="191246A8"/>
    <w:rsid w:val="194263E8"/>
    <w:rsid w:val="1D814D53"/>
    <w:rsid w:val="1E300BA6"/>
    <w:rsid w:val="1F590745"/>
    <w:rsid w:val="22203A4D"/>
    <w:rsid w:val="267F30ED"/>
    <w:rsid w:val="2A6D4A7A"/>
    <w:rsid w:val="2D523BFC"/>
    <w:rsid w:val="2E2E697D"/>
    <w:rsid w:val="2E982B92"/>
    <w:rsid w:val="2F3D2146"/>
    <w:rsid w:val="314D776A"/>
    <w:rsid w:val="31E26B51"/>
    <w:rsid w:val="322825F9"/>
    <w:rsid w:val="330B4BBA"/>
    <w:rsid w:val="34B50CF0"/>
    <w:rsid w:val="35BC1F83"/>
    <w:rsid w:val="39C7474C"/>
    <w:rsid w:val="39E1550A"/>
    <w:rsid w:val="3B015D42"/>
    <w:rsid w:val="3BF17314"/>
    <w:rsid w:val="3E194657"/>
    <w:rsid w:val="3FDF2BB3"/>
    <w:rsid w:val="40591C20"/>
    <w:rsid w:val="42443606"/>
    <w:rsid w:val="42924C9A"/>
    <w:rsid w:val="42F45C87"/>
    <w:rsid w:val="434F276C"/>
    <w:rsid w:val="44B25704"/>
    <w:rsid w:val="457762A5"/>
    <w:rsid w:val="45FD0558"/>
    <w:rsid w:val="46F021AB"/>
    <w:rsid w:val="47957D14"/>
    <w:rsid w:val="47F51660"/>
    <w:rsid w:val="47F7283F"/>
    <w:rsid w:val="4C8B5623"/>
    <w:rsid w:val="50E16F79"/>
    <w:rsid w:val="51A01CF2"/>
    <w:rsid w:val="575B1CB0"/>
    <w:rsid w:val="5A4A1614"/>
    <w:rsid w:val="5A6D2ECE"/>
    <w:rsid w:val="5B7D4FAC"/>
    <w:rsid w:val="5CBC4F66"/>
    <w:rsid w:val="5CF91D9B"/>
    <w:rsid w:val="5DE448DE"/>
    <w:rsid w:val="61624144"/>
    <w:rsid w:val="624508BA"/>
    <w:rsid w:val="63564D82"/>
    <w:rsid w:val="64970041"/>
    <w:rsid w:val="654679CA"/>
    <w:rsid w:val="65FC43ED"/>
    <w:rsid w:val="66296505"/>
    <w:rsid w:val="66311EFA"/>
    <w:rsid w:val="69645571"/>
    <w:rsid w:val="6A2A6FDD"/>
    <w:rsid w:val="6ACD51B0"/>
    <w:rsid w:val="6ACE0C36"/>
    <w:rsid w:val="6B023657"/>
    <w:rsid w:val="6E39185A"/>
    <w:rsid w:val="6F4A2BAC"/>
    <w:rsid w:val="6F7F7630"/>
    <w:rsid w:val="702F3E35"/>
    <w:rsid w:val="71645CA0"/>
    <w:rsid w:val="72A16A9E"/>
    <w:rsid w:val="73393978"/>
    <w:rsid w:val="74F051D4"/>
    <w:rsid w:val="769204AD"/>
    <w:rsid w:val="77AE30DA"/>
    <w:rsid w:val="7909255D"/>
    <w:rsid w:val="7A3A0CFC"/>
    <w:rsid w:val="7A695384"/>
    <w:rsid w:val="7AD86313"/>
    <w:rsid w:val="7CC63DC0"/>
    <w:rsid w:val="7CF62042"/>
    <w:rsid w:val="7D8710D3"/>
    <w:rsid w:val="7F162377"/>
    <w:rsid w:val="7F5F4B5B"/>
    <w:rsid w:val="7F66D9A1"/>
    <w:rsid w:val="7FE7C34A"/>
    <w:rsid w:val="FBF78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jc w:val="center"/>
      <w:outlineLvl w:val="0"/>
    </w:pPr>
    <w:rPr>
      <w:b/>
      <w:bCs/>
      <w:sz w:val="20"/>
      <w:szCs w:val="20"/>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qFormat/>
    <w:uiPriority w:val="0"/>
    <w:rPr>
      <w:sz w:val="18"/>
      <w:szCs w:val="18"/>
    </w:rPr>
  </w:style>
  <w:style w:type="paragraph" w:styleId="5">
    <w:name w:val="footer"/>
    <w:basedOn w:val="1"/>
    <w:link w:val="14"/>
    <w:qFormat/>
    <w:uiPriority w:val="99"/>
    <w:pPr>
      <w:tabs>
        <w:tab w:val="center" w:pos="4153"/>
        <w:tab w:val="right" w:pos="8306"/>
      </w:tabs>
      <w:snapToGrid w:val="0"/>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paragraph" w:customStyle="1" w:styleId="11">
    <w:name w:val="Char"/>
    <w:basedOn w:val="1"/>
    <w:qFormat/>
    <w:uiPriority w:val="0"/>
  </w:style>
  <w:style w:type="paragraph" w:customStyle="1" w:styleId="12">
    <w:name w:val="Char Char Char Char"/>
    <w:basedOn w:val="1"/>
    <w:qFormat/>
    <w:uiPriority w:val="0"/>
    <w:pPr>
      <w:widowControl/>
      <w:spacing w:after="160" w:line="240" w:lineRule="exact"/>
      <w:jc w:val="left"/>
    </w:pPr>
    <w:rPr>
      <w:rFonts w:eastAsia="仿宋_GB2312"/>
      <w:sz w:val="32"/>
    </w:rPr>
  </w:style>
  <w:style w:type="paragraph" w:customStyle="1" w:styleId="13">
    <w:name w:val="_Style 2"/>
    <w:basedOn w:val="1"/>
    <w:qFormat/>
    <w:uiPriority w:val="0"/>
    <w:rPr>
      <w:szCs w:val="20"/>
    </w:rPr>
  </w:style>
  <w:style w:type="character" w:customStyle="1" w:styleId="14">
    <w:name w:val="页脚 字符"/>
    <w:basedOn w:val="9"/>
    <w:link w:val="5"/>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2430</Words>
  <Characters>2517</Characters>
  <Lines>27</Lines>
  <Paragraphs>7</Paragraphs>
  <TotalTime>0</TotalTime>
  <ScaleCrop>false</ScaleCrop>
  <LinksUpToDate>false</LinksUpToDate>
  <CharactersWithSpaces>3784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2022-02-15T19:52:00Z</dcterms:created>
  <dc:creator>USER</dc:creator>
  <cp:lastModifiedBy>Administrator</cp:lastModifiedBy>
  <cp:lastPrinted>2021-10-15T17:07:00Z</cp:lastPrinted>
  <dcterms:modified xsi:type="dcterms:W3CDTF">2022-10-18T08:24:06Z</dcterms:modified>
  <dc:title>拱墅区居家养老服务政府购买标准实施意见（试行）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9B5F779C2C0C4162BEE7AD0CF2B0C805</vt:lpwstr>
  </property>
  <property fmtid="{D5CDD505-2E9C-101B-9397-08002B2CF9AE}" pid="4" name="woTemplateTypoMode">
    <vt:lpwstr>web</vt:lpwstr>
  </property>
  <property fmtid="{D5CDD505-2E9C-101B-9397-08002B2CF9AE}" pid="5" name="woTemplate">
    <vt:r8>1</vt:r8>
  </property>
</Properties>
</file>