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_GBK" w:hAnsi="华文仿宋" w:eastAsia="方正小标宋_GBK"/>
          <w:sz w:val="44"/>
          <w:szCs w:val="44"/>
        </w:rPr>
      </w:pPr>
      <w:bookmarkStart w:id="0" w:name="OLE_LINK2"/>
      <w:bookmarkStart w:id="1" w:name="OLE_LINK1"/>
      <w:r>
        <w:rPr>
          <w:rFonts w:hint="eastAsia" w:ascii="方正小标宋_GBK" w:hAnsi="华文仿宋" w:eastAsia="方正小标宋_GBK"/>
          <w:sz w:val="44"/>
          <w:szCs w:val="44"/>
        </w:rPr>
        <w:t>2021年第三季度拱墅区用户水龙头水样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_GBK" w:hAnsi="华文仿宋" w:eastAsia="方正小标宋_GBK"/>
          <w:sz w:val="44"/>
          <w:szCs w:val="44"/>
        </w:rPr>
      </w:pPr>
      <w:r>
        <w:rPr>
          <w:rFonts w:hint="eastAsia" w:ascii="方正小标宋_GBK" w:hAnsi="华文仿宋" w:eastAsia="方正小标宋_GBK"/>
          <w:sz w:val="44"/>
          <w:szCs w:val="44"/>
        </w:rPr>
        <w:t>水质监测结果公告</w:t>
      </w:r>
    </w:p>
    <w:bookmarkEnd w:id="0"/>
    <w:bookmarkEnd w:id="1"/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Autospacing="0" w:line="560" w:lineRule="exact"/>
        <w:ind w:firstLine="579" w:firstLineChars="181"/>
        <w:textAlignment w:val="auto"/>
        <w:rPr>
          <w:rFonts w:ascii="仿宋" w:hAnsi="仿宋" w:eastAsia="仿宋" w:cs="微软雅黑"/>
          <w:color w:val="000000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579" w:firstLineChars="181"/>
        <w:textAlignment w:val="auto"/>
        <w:rPr>
          <w:rFonts w:ascii="仿宋" w:hAnsi="仿宋" w:eastAsia="仿宋" w:cs="微软雅黑"/>
          <w:color w:val="000000"/>
          <w:sz w:val="32"/>
          <w:szCs w:val="32"/>
        </w:rPr>
      </w:pPr>
      <w:r>
        <w:rPr>
          <w:rFonts w:hint="eastAsia" w:ascii="仿宋" w:hAnsi="仿宋" w:eastAsia="仿宋" w:cs="微软雅黑"/>
          <w:color w:val="000000"/>
          <w:sz w:val="32"/>
          <w:szCs w:val="32"/>
        </w:rPr>
        <w:t>2021年第三季度，拱墅区卫生健康局共选择20个代表性监测点进行龙头水水质监测，监测指标项次数720个，监测指标综合合格率100%，监测指标为《生活饮用水卫生标准》（GB5749-2006）中常规指标（不含放射性指标）和非常规指标氨氮。详细监测数据见表1、表2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" w:hAnsi="仿宋" w:eastAsia="仿宋" w:cs="微软雅黑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微软雅黑"/>
          <w:color w:val="000000"/>
          <w:sz w:val="32"/>
          <w:szCs w:val="32"/>
        </w:rPr>
        <w:t>特此公告</w:t>
      </w:r>
      <w:r>
        <w:rPr>
          <w:rFonts w:hint="eastAsia" w:ascii="仿宋" w:hAnsi="仿宋" w:eastAsia="仿宋" w:cs="微软雅黑"/>
          <w:color w:val="000000"/>
          <w:sz w:val="32"/>
          <w:szCs w:val="32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ascii="仿宋" w:hAnsi="仿宋" w:eastAsia="仿宋" w:cs="微软雅黑"/>
          <w:color w:val="000000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Autospacing="0" w:line="560" w:lineRule="exact"/>
        <w:jc w:val="right"/>
        <w:textAlignment w:val="auto"/>
        <w:rPr>
          <w:rFonts w:ascii="仿宋" w:hAnsi="仿宋" w:eastAsia="仿宋" w:cs="微软雅黑"/>
          <w:color w:val="000000"/>
          <w:sz w:val="32"/>
          <w:szCs w:val="32"/>
        </w:rPr>
      </w:pPr>
      <w:r>
        <w:rPr>
          <w:rFonts w:hint="eastAsia" w:ascii="仿宋" w:hAnsi="仿宋" w:eastAsia="仿宋" w:cs="微软雅黑"/>
          <w:color w:val="000000"/>
          <w:sz w:val="32"/>
          <w:szCs w:val="32"/>
        </w:rPr>
        <w:t>杭州市拱墅区卫生健康局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Fonts w:ascii="仿宋" w:hAnsi="仿宋" w:eastAsia="仿宋" w:cs="微软雅黑"/>
          <w:color w:val="000000"/>
          <w:sz w:val="32"/>
          <w:szCs w:val="32"/>
        </w:rPr>
      </w:pPr>
      <w:r>
        <w:rPr>
          <w:rFonts w:hint="eastAsia" w:ascii="仿宋" w:hAnsi="仿宋" w:eastAsia="仿宋" w:cs="微软雅黑"/>
          <w:color w:val="000000"/>
          <w:sz w:val="32"/>
          <w:szCs w:val="32"/>
        </w:rPr>
        <w:t xml:space="preserve">                               2021年</w:t>
      </w:r>
      <w:r>
        <w:rPr>
          <w:rFonts w:hint="eastAsia" w:ascii="仿宋" w:hAnsi="仿宋" w:eastAsia="仿宋" w:cs="微软雅黑"/>
          <w:color w:val="000000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微软雅黑"/>
          <w:color w:val="000000"/>
          <w:sz w:val="32"/>
          <w:szCs w:val="32"/>
        </w:rPr>
        <w:t>月</w:t>
      </w:r>
      <w:r>
        <w:rPr>
          <w:rFonts w:hint="eastAsia" w:ascii="仿宋" w:hAnsi="仿宋" w:eastAsia="仿宋" w:cs="微软雅黑"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微软雅黑"/>
          <w:color w:val="000000"/>
          <w:sz w:val="32"/>
          <w:szCs w:val="32"/>
        </w:rPr>
        <w:t>日</w:t>
      </w:r>
    </w:p>
    <w:p>
      <w:pPr>
        <w:jc w:val="left"/>
        <w:rPr>
          <w:bCs/>
          <w:sz w:val="36"/>
          <w:szCs w:val="36"/>
        </w:rPr>
      </w:pPr>
    </w:p>
    <w:p>
      <w:pPr>
        <w:jc w:val="left"/>
        <w:rPr>
          <w:bCs/>
          <w:sz w:val="36"/>
          <w:szCs w:val="36"/>
        </w:rPr>
      </w:pPr>
    </w:p>
    <w:p>
      <w:pPr>
        <w:jc w:val="left"/>
        <w:rPr>
          <w:bCs/>
          <w:sz w:val="36"/>
          <w:szCs w:val="36"/>
        </w:rPr>
      </w:pPr>
    </w:p>
    <w:p>
      <w:pPr>
        <w:jc w:val="left"/>
        <w:rPr>
          <w:bCs/>
          <w:sz w:val="36"/>
          <w:szCs w:val="36"/>
        </w:rPr>
      </w:pPr>
    </w:p>
    <w:p>
      <w:pPr>
        <w:jc w:val="left"/>
        <w:rPr>
          <w:bCs/>
          <w:sz w:val="36"/>
          <w:szCs w:val="36"/>
        </w:rPr>
      </w:pPr>
    </w:p>
    <w:p>
      <w:pPr>
        <w:jc w:val="left"/>
        <w:rPr>
          <w:bCs/>
          <w:sz w:val="36"/>
          <w:szCs w:val="36"/>
        </w:rPr>
      </w:pPr>
    </w:p>
    <w:p>
      <w:pPr>
        <w:jc w:val="left"/>
        <w:rPr>
          <w:bCs/>
          <w:sz w:val="36"/>
          <w:szCs w:val="36"/>
        </w:rPr>
      </w:pPr>
    </w:p>
    <w:p>
      <w:pPr>
        <w:jc w:val="left"/>
        <w:rPr>
          <w:bCs/>
          <w:sz w:val="36"/>
          <w:szCs w:val="36"/>
        </w:rPr>
      </w:pPr>
    </w:p>
    <w:p>
      <w:pPr>
        <w:jc w:val="left"/>
        <w:rPr>
          <w:bCs/>
          <w:sz w:val="36"/>
          <w:szCs w:val="36"/>
        </w:rPr>
      </w:pPr>
    </w:p>
    <w:p>
      <w:pPr>
        <w:jc w:val="left"/>
        <w:rPr>
          <w:bCs/>
          <w:sz w:val="36"/>
          <w:szCs w:val="36"/>
        </w:rPr>
      </w:pPr>
      <w:bookmarkStart w:id="2" w:name="_GoBack"/>
      <w:bookmarkEnd w:id="2"/>
    </w:p>
    <w:p>
      <w:pPr>
        <w:rPr>
          <w:b/>
          <w:sz w:val="36"/>
          <w:szCs w:val="36"/>
        </w:rPr>
      </w:pPr>
    </w:p>
    <w:p>
      <w:pPr>
        <w:jc w:val="center"/>
        <w:rPr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用户水龙头水质监测结果</w:t>
      </w:r>
    </w:p>
    <w:p>
      <w:pPr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21年3季度）</w:t>
      </w:r>
    </w:p>
    <w:p>
      <w:pP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信息发布单位：杭州市拱墅区疾病预防控制中心</w:t>
      </w:r>
    </w:p>
    <w:tbl>
      <w:tblPr>
        <w:tblStyle w:val="5"/>
        <w:tblW w:w="864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"/>
        <w:gridCol w:w="1699"/>
        <w:gridCol w:w="992"/>
        <w:gridCol w:w="1189"/>
        <w:gridCol w:w="11"/>
        <w:gridCol w:w="1201"/>
        <w:gridCol w:w="13"/>
        <w:gridCol w:w="51"/>
        <w:gridCol w:w="1137"/>
        <w:gridCol w:w="1024"/>
        <w:gridCol w:w="7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532" w:type="dxa"/>
            <w:vMerge w:val="restart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99" w:type="dxa"/>
            <w:vMerge w:val="restart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指标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限值</w:t>
            </w:r>
          </w:p>
        </w:tc>
        <w:tc>
          <w:tcPr>
            <w:tcW w:w="3602" w:type="dxa"/>
            <w:gridSpan w:val="6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监测值</w:t>
            </w:r>
          </w:p>
        </w:tc>
        <w:tc>
          <w:tcPr>
            <w:tcW w:w="1024" w:type="dxa"/>
            <w:vMerge w:val="restart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监测指标合格率（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794" w:type="dxa"/>
            <w:vMerge w:val="restart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32" w:type="dxa"/>
            <w:vMerge w:val="continue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99" w:type="dxa"/>
            <w:vMerge w:val="continue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276" w:type="dxa"/>
            <w:gridSpan w:val="4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平均值</w:t>
            </w:r>
          </w:p>
        </w:tc>
        <w:tc>
          <w:tcPr>
            <w:tcW w:w="1024" w:type="dxa"/>
            <w:vMerge w:val="continue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dxa"/>
            <w:vMerge w:val="continue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色度（铂钴色度单位）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200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214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18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0.25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浑浊度（散射浑浊度单位）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/NTU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276" w:type="dxa"/>
            <w:gridSpan w:val="4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0.10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臭和味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无异臭、异味</w:t>
            </w:r>
          </w:p>
        </w:tc>
        <w:tc>
          <w:tcPr>
            <w:tcW w:w="3602" w:type="dxa"/>
            <w:gridSpan w:val="6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无异臭、异味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肉眼可见物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3602" w:type="dxa"/>
            <w:gridSpan w:val="6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无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pH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值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6.5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～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8.5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asci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7.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276" w:type="dxa"/>
            <w:gridSpan w:val="4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7.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7.46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总硬度（以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CaCO</w:t>
            </w:r>
            <w:r>
              <w:rPr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计）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450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72.5</w:t>
            </w:r>
          </w:p>
        </w:tc>
        <w:tc>
          <w:tcPr>
            <w:tcW w:w="1276" w:type="dxa"/>
            <w:gridSpan w:val="4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42.7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51.9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溶解性总固体（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1000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110</w:t>
            </w:r>
          </w:p>
        </w:tc>
        <w:tc>
          <w:tcPr>
            <w:tcW w:w="1276" w:type="dxa"/>
            <w:gridSpan w:val="4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66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89.0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挥发酚类（以苯酚计）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0.002</w:t>
            </w:r>
          </w:p>
        </w:tc>
        <w:tc>
          <w:tcPr>
            <w:tcW w:w="3602" w:type="dxa"/>
            <w:gridSpan w:val="6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阴离子合成洗涤剂（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276" w:type="dxa"/>
            <w:gridSpan w:val="4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0.046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硫酸盐（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250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9.8</w:t>
            </w:r>
          </w:p>
        </w:tc>
        <w:tc>
          <w:tcPr>
            <w:tcW w:w="1276" w:type="dxa"/>
            <w:gridSpan w:val="4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8.6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9.01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氯化物（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250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6.5</w:t>
            </w:r>
          </w:p>
        </w:tc>
        <w:tc>
          <w:tcPr>
            <w:tcW w:w="1276" w:type="dxa"/>
            <w:gridSpan w:val="4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5.5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5.94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氟化物（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1.0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276" w:type="dxa"/>
            <w:gridSpan w:val="4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0.092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氰化物（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0.05</w:t>
            </w:r>
          </w:p>
        </w:tc>
        <w:tc>
          <w:tcPr>
            <w:tcW w:w="3602" w:type="dxa"/>
            <w:gridSpan w:val="6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硝酸盐氮（以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计）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0.90</w:t>
            </w:r>
          </w:p>
        </w:tc>
        <w:tc>
          <w:tcPr>
            <w:tcW w:w="1225" w:type="dxa"/>
            <w:gridSpan w:val="3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0.71</w:t>
            </w:r>
          </w:p>
        </w:tc>
        <w:tc>
          <w:tcPr>
            <w:tcW w:w="118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0.811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氨氮（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1200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0.07</w:t>
            </w:r>
          </w:p>
        </w:tc>
        <w:tc>
          <w:tcPr>
            <w:tcW w:w="1214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18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铝（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≤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0.2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086</w:t>
            </w:r>
          </w:p>
        </w:tc>
        <w:tc>
          <w:tcPr>
            <w:tcW w:w="1225" w:type="dxa"/>
            <w:gridSpan w:val="3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18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0.031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铁（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3602" w:type="dxa"/>
            <w:gridSpan w:val="6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699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锰（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0.1</w:t>
            </w:r>
          </w:p>
        </w:tc>
        <w:tc>
          <w:tcPr>
            <w:tcW w:w="1200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12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201" w:type="dxa"/>
            <w:gridSpan w:val="3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0.004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0"/>
        <w:ind w:firstLineChars="0"/>
        <w:jc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5"/>
        <w:tblW w:w="873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701"/>
        <w:gridCol w:w="992"/>
        <w:gridCol w:w="1228"/>
        <w:gridCol w:w="48"/>
        <w:gridCol w:w="1180"/>
        <w:gridCol w:w="95"/>
        <w:gridCol w:w="1134"/>
        <w:gridCol w:w="1024"/>
        <w:gridCol w:w="7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铜（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1.0</w:t>
            </w:r>
          </w:p>
        </w:tc>
        <w:tc>
          <w:tcPr>
            <w:tcW w:w="1228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122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229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0.001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锌（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1.0</w:t>
            </w:r>
          </w:p>
        </w:tc>
        <w:tc>
          <w:tcPr>
            <w:tcW w:w="1228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122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229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0.001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砷（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0.01</w:t>
            </w:r>
          </w:p>
        </w:tc>
        <w:tc>
          <w:tcPr>
            <w:tcW w:w="3685" w:type="dxa"/>
            <w:gridSpan w:val="5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硒（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0.01</w:t>
            </w:r>
          </w:p>
        </w:tc>
        <w:tc>
          <w:tcPr>
            <w:tcW w:w="3685" w:type="dxa"/>
            <w:gridSpan w:val="5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汞（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0.001</w:t>
            </w:r>
          </w:p>
        </w:tc>
        <w:tc>
          <w:tcPr>
            <w:tcW w:w="3685" w:type="dxa"/>
            <w:gridSpan w:val="5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镉（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0.005</w:t>
            </w:r>
          </w:p>
        </w:tc>
        <w:tc>
          <w:tcPr>
            <w:tcW w:w="3685" w:type="dxa"/>
            <w:gridSpan w:val="5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铬（六价）（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0.05</w:t>
            </w:r>
          </w:p>
        </w:tc>
        <w:tc>
          <w:tcPr>
            <w:tcW w:w="3685" w:type="dxa"/>
            <w:gridSpan w:val="5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铅（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0.01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0.0006</w:t>
            </w:r>
          </w:p>
        </w:tc>
        <w:tc>
          <w:tcPr>
            <w:tcW w:w="1275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0.00003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耗氧量（以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计）（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1.30</w:t>
            </w:r>
          </w:p>
        </w:tc>
        <w:tc>
          <w:tcPr>
            <w:tcW w:w="1275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0.40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0.78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四氯化碳（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0.002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0.0017</w:t>
            </w:r>
          </w:p>
        </w:tc>
        <w:tc>
          <w:tcPr>
            <w:tcW w:w="1275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0.00023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三氯甲烷（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0.06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1275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0.00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227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溴酸盐（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0.01</w:t>
            </w:r>
          </w:p>
        </w:tc>
        <w:tc>
          <w:tcPr>
            <w:tcW w:w="3685" w:type="dxa"/>
            <w:gridSpan w:val="5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甲醛（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0.9</w:t>
            </w:r>
          </w:p>
        </w:tc>
        <w:tc>
          <w:tcPr>
            <w:tcW w:w="3685" w:type="dxa"/>
            <w:gridSpan w:val="5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低于检出限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余氯（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mg/L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≥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0.05</w:t>
            </w:r>
          </w:p>
        </w:tc>
        <w:tc>
          <w:tcPr>
            <w:tcW w:w="1228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122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05</w:t>
            </w:r>
          </w:p>
        </w:tc>
        <w:tc>
          <w:tcPr>
            <w:tcW w:w="1229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菌落总数（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CFU/mL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228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28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未检出</w:t>
            </w:r>
          </w:p>
        </w:tc>
        <w:tc>
          <w:tcPr>
            <w:tcW w:w="1229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0.05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总大肠菌群（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MPN/100mL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不得检出</w:t>
            </w:r>
          </w:p>
        </w:tc>
        <w:tc>
          <w:tcPr>
            <w:tcW w:w="3685" w:type="dxa"/>
            <w:gridSpan w:val="5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未检出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耐热大肠菌群（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MPN/100mL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不得检出</w:t>
            </w:r>
          </w:p>
        </w:tc>
        <w:tc>
          <w:tcPr>
            <w:tcW w:w="3685" w:type="dxa"/>
            <w:gridSpan w:val="5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未检出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大肠埃希氏菌（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MPN/100mL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不得检出</w:t>
            </w:r>
          </w:p>
        </w:tc>
        <w:tc>
          <w:tcPr>
            <w:tcW w:w="3685" w:type="dxa"/>
            <w:gridSpan w:val="5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未检出</w:t>
            </w:r>
          </w:p>
        </w:tc>
        <w:tc>
          <w:tcPr>
            <w:tcW w:w="102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794" w:type="dxa"/>
            <w:vAlign w:val="center"/>
          </w:tcPr>
          <w:p>
            <w:pPr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说明：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0"/>
        <w:numPr>
          <w:ilvl w:val="0"/>
          <w:numId w:val="1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本信息来源于杭州市拱墅区疾病预防控制中心。</w:t>
      </w:r>
    </w:p>
    <w:p>
      <w:pPr>
        <w:pStyle w:val="10"/>
        <w:numPr>
          <w:ilvl w:val="0"/>
          <w:numId w:val="1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水质指标的检验和结果评价按照《生活饮用水卫生标准》（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GB5749-2006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）、《生活饮用水标准检验方法》（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GB/T5750-2006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）执行。</w:t>
      </w:r>
    </w:p>
    <w:p>
      <w:pPr>
        <w:pStyle w:val="10"/>
        <w:numPr>
          <w:ilvl w:val="0"/>
          <w:numId w:val="1"/>
        </w:num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监测指标合格率（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%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单项指标检验合格样品数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÷该指标检验样品总数×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100%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10"/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0"/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用户水龙头水质监测合格率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20</w:t>
      </w:r>
      <w:r>
        <w:rPr>
          <w:rFonts w:hint="eastAsia"/>
          <w:sz w:val="28"/>
          <w:szCs w:val="28"/>
        </w:rPr>
        <w:t>21年3季度）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信息发布单位：杭州市拱墅区疾病预防控制中心</w:t>
      </w:r>
    </w:p>
    <w:tbl>
      <w:tblPr>
        <w:tblStyle w:val="5"/>
        <w:tblW w:w="854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2"/>
        <w:gridCol w:w="2548"/>
        <w:gridCol w:w="1631"/>
        <w:gridCol w:w="1643"/>
        <w:gridCol w:w="11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542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设区市</w:t>
            </w:r>
          </w:p>
        </w:tc>
        <w:tc>
          <w:tcPr>
            <w:tcW w:w="25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监测点数</w:t>
            </w:r>
          </w:p>
          <w:p>
            <w:pPr>
              <w:jc w:val="center"/>
            </w:pPr>
            <w:r>
              <w:rPr>
                <w:rFonts w:hint="eastAsia"/>
              </w:rPr>
              <w:t>（个）</w:t>
            </w:r>
          </w:p>
        </w:tc>
        <w:tc>
          <w:tcPr>
            <w:tcW w:w="163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监测指标数</w:t>
            </w:r>
          </w:p>
          <w:p>
            <w:pPr>
              <w:jc w:val="center"/>
            </w:pPr>
            <w:r>
              <w:rPr>
                <w:rFonts w:hint="eastAsia"/>
              </w:rPr>
              <w:t>（项次）</w:t>
            </w:r>
          </w:p>
        </w:tc>
        <w:tc>
          <w:tcPr>
            <w:tcW w:w="1643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监测指标</w:t>
            </w:r>
          </w:p>
          <w:p>
            <w:pPr>
              <w:jc w:val="center"/>
            </w:pPr>
            <w:r>
              <w:rPr>
                <w:rFonts w:hint="eastAsia"/>
              </w:rPr>
              <w:t>综合合格率</w:t>
            </w:r>
          </w:p>
          <w:p>
            <w:pPr>
              <w:jc w:val="center"/>
            </w:pPr>
            <w:r>
              <w:rPr>
                <w:rFonts w:hint="eastAsia"/>
              </w:rPr>
              <w:t>（</w:t>
            </w:r>
            <w:r>
              <w:t>%</w:t>
            </w:r>
            <w:r>
              <w:rPr>
                <w:rFonts w:hint="eastAsia"/>
              </w:rPr>
              <w:t>）</w:t>
            </w:r>
          </w:p>
        </w:tc>
        <w:tc>
          <w:tcPr>
            <w:tcW w:w="117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54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5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63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64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78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54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拱墅区</w:t>
            </w:r>
          </w:p>
        </w:tc>
        <w:tc>
          <w:tcPr>
            <w:tcW w:w="254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63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72</w:t>
            </w:r>
            <w:r>
              <w:t>0</w:t>
            </w:r>
          </w:p>
        </w:tc>
        <w:tc>
          <w:tcPr>
            <w:tcW w:w="1643" w:type="dxa"/>
            <w:vAlign w:val="center"/>
          </w:tcPr>
          <w:p>
            <w:pPr>
              <w:jc w:val="center"/>
            </w:pPr>
            <w:r>
              <w:t>100</w:t>
            </w:r>
          </w:p>
        </w:tc>
        <w:tc>
          <w:tcPr>
            <w:tcW w:w="117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542" w:type="dxa"/>
            <w:vAlign w:val="center"/>
          </w:tcPr>
          <w:p>
            <w:pPr>
              <w:jc w:val="center"/>
            </w:pPr>
          </w:p>
        </w:tc>
        <w:tc>
          <w:tcPr>
            <w:tcW w:w="2548" w:type="dxa"/>
            <w:vAlign w:val="center"/>
          </w:tcPr>
          <w:p>
            <w:pPr>
              <w:jc w:val="center"/>
            </w:pPr>
          </w:p>
        </w:tc>
        <w:tc>
          <w:tcPr>
            <w:tcW w:w="1631" w:type="dxa"/>
            <w:vAlign w:val="center"/>
          </w:tcPr>
          <w:p>
            <w:pPr>
              <w:jc w:val="center"/>
            </w:pPr>
          </w:p>
        </w:tc>
        <w:tc>
          <w:tcPr>
            <w:tcW w:w="1643" w:type="dxa"/>
            <w:vAlign w:val="center"/>
          </w:tcPr>
          <w:p>
            <w:pPr>
              <w:jc w:val="center"/>
            </w:pPr>
          </w:p>
        </w:tc>
        <w:tc>
          <w:tcPr>
            <w:tcW w:w="117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542" w:type="dxa"/>
            <w:vAlign w:val="center"/>
          </w:tcPr>
          <w:p>
            <w:pPr>
              <w:jc w:val="center"/>
            </w:pPr>
          </w:p>
        </w:tc>
        <w:tc>
          <w:tcPr>
            <w:tcW w:w="2548" w:type="dxa"/>
            <w:vAlign w:val="center"/>
          </w:tcPr>
          <w:p>
            <w:pPr>
              <w:jc w:val="center"/>
            </w:pPr>
          </w:p>
        </w:tc>
        <w:tc>
          <w:tcPr>
            <w:tcW w:w="1631" w:type="dxa"/>
            <w:vAlign w:val="center"/>
          </w:tcPr>
          <w:p>
            <w:pPr>
              <w:jc w:val="center"/>
            </w:pPr>
          </w:p>
        </w:tc>
        <w:tc>
          <w:tcPr>
            <w:tcW w:w="1643" w:type="dxa"/>
            <w:vAlign w:val="center"/>
          </w:tcPr>
          <w:p>
            <w:pPr>
              <w:jc w:val="center"/>
            </w:pPr>
          </w:p>
        </w:tc>
        <w:tc>
          <w:tcPr>
            <w:tcW w:w="1178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</w:trPr>
        <w:tc>
          <w:tcPr>
            <w:tcW w:w="154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合计</w:t>
            </w:r>
          </w:p>
        </w:tc>
        <w:tc>
          <w:tcPr>
            <w:tcW w:w="2548" w:type="dxa"/>
            <w:vAlign w:val="center"/>
          </w:tcPr>
          <w:p>
            <w:pPr>
              <w:jc w:val="center"/>
            </w:pPr>
          </w:p>
        </w:tc>
        <w:tc>
          <w:tcPr>
            <w:tcW w:w="1631" w:type="dxa"/>
            <w:vAlign w:val="center"/>
          </w:tcPr>
          <w:p>
            <w:pPr>
              <w:jc w:val="center"/>
            </w:pPr>
          </w:p>
        </w:tc>
        <w:tc>
          <w:tcPr>
            <w:tcW w:w="1643" w:type="dxa"/>
            <w:vAlign w:val="center"/>
          </w:tcPr>
          <w:p>
            <w:pPr>
              <w:jc w:val="center"/>
            </w:pPr>
          </w:p>
        </w:tc>
        <w:tc>
          <w:tcPr>
            <w:tcW w:w="1178" w:type="dxa"/>
            <w:vAlign w:val="center"/>
          </w:tcPr>
          <w:p>
            <w:pPr>
              <w:jc w:val="center"/>
            </w:pPr>
          </w:p>
        </w:tc>
      </w:tr>
    </w:tbl>
    <w:p>
      <w:r>
        <w:rPr>
          <w:rFonts w:hint="eastAsia"/>
        </w:rPr>
        <w:t>说明：</w:t>
      </w:r>
      <w:r>
        <w:t xml:space="preserve"> </w:t>
      </w:r>
    </w:p>
    <w:p>
      <w:pPr>
        <w:pStyle w:val="10"/>
        <w:numPr>
          <w:ilvl w:val="0"/>
          <w:numId w:val="2"/>
        </w:numPr>
        <w:ind w:firstLineChars="0"/>
      </w:pPr>
      <w:r>
        <w:rPr>
          <w:rFonts w:hint="eastAsia"/>
        </w:rPr>
        <w:t>本信息来源于杭州市拱墅区疾病预防控制中心。</w:t>
      </w:r>
    </w:p>
    <w:p>
      <w:pPr>
        <w:pStyle w:val="10"/>
        <w:numPr>
          <w:ilvl w:val="0"/>
          <w:numId w:val="2"/>
        </w:numPr>
        <w:ind w:firstLineChars="0"/>
      </w:pPr>
      <w:r>
        <w:rPr>
          <w:rFonts w:hint="eastAsia"/>
        </w:rPr>
        <w:t>水质指标的检验和结果评价按照《生活饮用水卫生标准》（</w:t>
      </w:r>
      <w:r>
        <w:t>GB5749-2006</w:t>
      </w:r>
      <w:r>
        <w:rPr>
          <w:rFonts w:hint="eastAsia"/>
        </w:rPr>
        <w:t>）、《生活饮用水标准检验方法》（</w:t>
      </w:r>
      <w:r>
        <w:t>GB/T5750-2006</w:t>
      </w:r>
      <w:r>
        <w:rPr>
          <w:rFonts w:hint="eastAsia"/>
        </w:rPr>
        <w:t>）执行。</w:t>
      </w:r>
    </w:p>
    <w:p>
      <w:pPr>
        <w:pStyle w:val="10"/>
        <w:numPr>
          <w:ilvl w:val="0"/>
          <w:numId w:val="2"/>
        </w:numPr>
        <w:ind w:firstLineChars="0"/>
      </w:pPr>
      <w:r>
        <w:rPr>
          <w:rFonts w:hint="eastAsia"/>
        </w:rPr>
        <w:t>监测指标综合合格率（</w:t>
      </w:r>
      <w:r>
        <w:t>%</w:t>
      </w:r>
      <w:r>
        <w:rPr>
          <w:rFonts w:hint="eastAsia"/>
        </w:rPr>
        <w:t>）</w:t>
      </w:r>
      <w:r>
        <w:t>=</w:t>
      </w:r>
      <w:r>
        <w:rPr>
          <w:rFonts w:hint="eastAsia"/>
        </w:rPr>
        <w:t>所有样品指标检验合格项次数</w:t>
      </w:r>
      <w:r>
        <w:rPr>
          <w:rFonts w:hint="eastAsia" w:ascii="宋体" w:hAnsi="宋体"/>
        </w:rPr>
        <w:t>÷所有样品指标检验总项次数×</w:t>
      </w:r>
      <w:r>
        <w:rPr>
          <w:rFonts w:ascii="宋体" w:hAnsi="宋体"/>
        </w:rPr>
        <w:t>100%</w:t>
      </w:r>
      <w:r>
        <w:rPr>
          <w:rFonts w:hint="eastAsia" w:ascii="宋体" w:hAnsi="宋体"/>
        </w:rPr>
        <w:t>。</w:t>
      </w: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p>
      <w:pPr>
        <w:pStyle w:val="10"/>
        <w:ind w:firstLineChars="0"/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9C41032-AC30-4F98-AE84-0BE683C7F00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CC78A6D-83AE-45A8-A0FE-B59D680F7EE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D8C99C2-0557-4F11-928D-B59ADE70D9A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33AB64E-A6BF-45B0-AD6A-A8CFFA122AC4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E5E500C0-D414-43AA-953B-4AC6811342B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5FC4E649-A53B-4AF8-BFCA-15A446397658}"/>
  </w:font>
  <w:font w:name="华文仿宋">
    <w:altName w:val="仿宋"/>
    <w:panose1 w:val="00000000000000000000"/>
    <w:charset w:val="86"/>
    <w:family w:val="auto"/>
    <w:pitch w:val="default"/>
    <w:sig w:usb0="00000000" w:usb1="00000000" w:usb2="00000010" w:usb3="00000000" w:csb0="0004009F" w:csb1="00000000"/>
    <w:embedRegular r:id="rId7" w:fontKey="{B105F1EC-108A-40E3-9E60-9BC9CD03B60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DF445B0B-6092-427B-93F0-7F610AD1C94F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9" w:fontKey="{219C683C-05FD-482F-8EF1-474565A1C43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FF6634"/>
    <w:multiLevelType w:val="multilevel"/>
    <w:tmpl w:val="30FF6634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605E3DD3"/>
    <w:multiLevelType w:val="multilevel"/>
    <w:tmpl w:val="605E3DD3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B58"/>
    <w:rsid w:val="000003F3"/>
    <w:rsid w:val="000020F4"/>
    <w:rsid w:val="00006560"/>
    <w:rsid w:val="00012030"/>
    <w:rsid w:val="00020475"/>
    <w:rsid w:val="00020DB3"/>
    <w:rsid w:val="0006750E"/>
    <w:rsid w:val="000816BD"/>
    <w:rsid w:val="00095F1D"/>
    <w:rsid w:val="000A0E56"/>
    <w:rsid w:val="000C6A5A"/>
    <w:rsid w:val="000D6721"/>
    <w:rsid w:val="001255D3"/>
    <w:rsid w:val="00126E8E"/>
    <w:rsid w:val="0012747F"/>
    <w:rsid w:val="00131E82"/>
    <w:rsid w:val="00143703"/>
    <w:rsid w:val="00143CE1"/>
    <w:rsid w:val="00155611"/>
    <w:rsid w:val="00160129"/>
    <w:rsid w:val="00163BD3"/>
    <w:rsid w:val="0016683D"/>
    <w:rsid w:val="001754DB"/>
    <w:rsid w:val="00175A6A"/>
    <w:rsid w:val="0018607C"/>
    <w:rsid w:val="00191BA2"/>
    <w:rsid w:val="00191CB8"/>
    <w:rsid w:val="001A56C7"/>
    <w:rsid w:val="001B693C"/>
    <w:rsid w:val="001C0EBA"/>
    <w:rsid w:val="001C5757"/>
    <w:rsid w:val="001D53EA"/>
    <w:rsid w:val="001E37BA"/>
    <w:rsid w:val="00224EA2"/>
    <w:rsid w:val="00251E13"/>
    <w:rsid w:val="00274670"/>
    <w:rsid w:val="002906E1"/>
    <w:rsid w:val="002C1D35"/>
    <w:rsid w:val="002C6E96"/>
    <w:rsid w:val="002D67CB"/>
    <w:rsid w:val="002F1840"/>
    <w:rsid w:val="00312DE3"/>
    <w:rsid w:val="0033506D"/>
    <w:rsid w:val="003418E6"/>
    <w:rsid w:val="00360F17"/>
    <w:rsid w:val="003A75C5"/>
    <w:rsid w:val="003B24CD"/>
    <w:rsid w:val="003B4832"/>
    <w:rsid w:val="003B5DC3"/>
    <w:rsid w:val="003C6291"/>
    <w:rsid w:val="003E5C45"/>
    <w:rsid w:val="00437C22"/>
    <w:rsid w:val="00442C34"/>
    <w:rsid w:val="00452D1F"/>
    <w:rsid w:val="00485420"/>
    <w:rsid w:val="004D36E1"/>
    <w:rsid w:val="004F081B"/>
    <w:rsid w:val="00511575"/>
    <w:rsid w:val="00545A0B"/>
    <w:rsid w:val="0058051E"/>
    <w:rsid w:val="00597238"/>
    <w:rsid w:val="005A0B9F"/>
    <w:rsid w:val="005B3C18"/>
    <w:rsid w:val="005C4A6A"/>
    <w:rsid w:val="005C4C55"/>
    <w:rsid w:val="005C6499"/>
    <w:rsid w:val="005D00C6"/>
    <w:rsid w:val="005E6BA5"/>
    <w:rsid w:val="005E771B"/>
    <w:rsid w:val="005F3E2D"/>
    <w:rsid w:val="005F5EF2"/>
    <w:rsid w:val="00642A1C"/>
    <w:rsid w:val="00657084"/>
    <w:rsid w:val="00657581"/>
    <w:rsid w:val="006A6244"/>
    <w:rsid w:val="006B576C"/>
    <w:rsid w:val="006C05E4"/>
    <w:rsid w:val="006C21FA"/>
    <w:rsid w:val="00704025"/>
    <w:rsid w:val="00711C0E"/>
    <w:rsid w:val="007455DB"/>
    <w:rsid w:val="007571D6"/>
    <w:rsid w:val="00766DE3"/>
    <w:rsid w:val="007C3853"/>
    <w:rsid w:val="007E0D4D"/>
    <w:rsid w:val="007F1FA2"/>
    <w:rsid w:val="00805FD8"/>
    <w:rsid w:val="00814D27"/>
    <w:rsid w:val="00817D79"/>
    <w:rsid w:val="008226BE"/>
    <w:rsid w:val="0082463D"/>
    <w:rsid w:val="00867CB2"/>
    <w:rsid w:val="008729CC"/>
    <w:rsid w:val="00877280"/>
    <w:rsid w:val="00881277"/>
    <w:rsid w:val="00891554"/>
    <w:rsid w:val="008B3DC8"/>
    <w:rsid w:val="008D1E7A"/>
    <w:rsid w:val="008F0089"/>
    <w:rsid w:val="008F24ED"/>
    <w:rsid w:val="008F4125"/>
    <w:rsid w:val="009027BC"/>
    <w:rsid w:val="00921346"/>
    <w:rsid w:val="0094000D"/>
    <w:rsid w:val="00947505"/>
    <w:rsid w:val="00967F8B"/>
    <w:rsid w:val="00983BD1"/>
    <w:rsid w:val="00987AC0"/>
    <w:rsid w:val="009A0591"/>
    <w:rsid w:val="009A754D"/>
    <w:rsid w:val="009A7E2F"/>
    <w:rsid w:val="009D2727"/>
    <w:rsid w:val="009D3DDF"/>
    <w:rsid w:val="009E33FA"/>
    <w:rsid w:val="009F2C0C"/>
    <w:rsid w:val="00A065D9"/>
    <w:rsid w:val="00A17B69"/>
    <w:rsid w:val="00A26408"/>
    <w:rsid w:val="00A30673"/>
    <w:rsid w:val="00A3750F"/>
    <w:rsid w:val="00A4251D"/>
    <w:rsid w:val="00A42739"/>
    <w:rsid w:val="00A46BB2"/>
    <w:rsid w:val="00A540BE"/>
    <w:rsid w:val="00A61AC6"/>
    <w:rsid w:val="00A66320"/>
    <w:rsid w:val="00A818E2"/>
    <w:rsid w:val="00A8716D"/>
    <w:rsid w:val="00A939C1"/>
    <w:rsid w:val="00AD13E4"/>
    <w:rsid w:val="00B036FA"/>
    <w:rsid w:val="00B06788"/>
    <w:rsid w:val="00B113F1"/>
    <w:rsid w:val="00B22C94"/>
    <w:rsid w:val="00B672E5"/>
    <w:rsid w:val="00B75D8F"/>
    <w:rsid w:val="00B810CF"/>
    <w:rsid w:val="00B8311E"/>
    <w:rsid w:val="00B94159"/>
    <w:rsid w:val="00B96AE9"/>
    <w:rsid w:val="00BC4525"/>
    <w:rsid w:val="00BC656F"/>
    <w:rsid w:val="00C00CB5"/>
    <w:rsid w:val="00C02240"/>
    <w:rsid w:val="00C02EAF"/>
    <w:rsid w:val="00C07131"/>
    <w:rsid w:val="00C10529"/>
    <w:rsid w:val="00C21BC4"/>
    <w:rsid w:val="00C36519"/>
    <w:rsid w:val="00C37099"/>
    <w:rsid w:val="00C72EAF"/>
    <w:rsid w:val="00C77558"/>
    <w:rsid w:val="00C77BD4"/>
    <w:rsid w:val="00C80563"/>
    <w:rsid w:val="00CF0231"/>
    <w:rsid w:val="00CF3C90"/>
    <w:rsid w:val="00CF6A53"/>
    <w:rsid w:val="00D035D3"/>
    <w:rsid w:val="00D1243C"/>
    <w:rsid w:val="00D30A0F"/>
    <w:rsid w:val="00D370EB"/>
    <w:rsid w:val="00D37D89"/>
    <w:rsid w:val="00D508EC"/>
    <w:rsid w:val="00D614AC"/>
    <w:rsid w:val="00D73E97"/>
    <w:rsid w:val="00D8173B"/>
    <w:rsid w:val="00D83D2E"/>
    <w:rsid w:val="00DB270A"/>
    <w:rsid w:val="00DC1A24"/>
    <w:rsid w:val="00DC388C"/>
    <w:rsid w:val="00DD6EFC"/>
    <w:rsid w:val="00DF6375"/>
    <w:rsid w:val="00E069B0"/>
    <w:rsid w:val="00E21AEF"/>
    <w:rsid w:val="00E252C9"/>
    <w:rsid w:val="00E52336"/>
    <w:rsid w:val="00E5373F"/>
    <w:rsid w:val="00E92CE2"/>
    <w:rsid w:val="00E96C83"/>
    <w:rsid w:val="00EA6714"/>
    <w:rsid w:val="00EC0175"/>
    <w:rsid w:val="00ED5D10"/>
    <w:rsid w:val="00EE084B"/>
    <w:rsid w:val="00EE0E6C"/>
    <w:rsid w:val="00EE65C4"/>
    <w:rsid w:val="00F154BC"/>
    <w:rsid w:val="00F26C44"/>
    <w:rsid w:val="00F3065C"/>
    <w:rsid w:val="00F47731"/>
    <w:rsid w:val="00F67C73"/>
    <w:rsid w:val="00F74B4B"/>
    <w:rsid w:val="00FA27E7"/>
    <w:rsid w:val="00FB2B76"/>
    <w:rsid w:val="00FC5B58"/>
    <w:rsid w:val="08725C95"/>
    <w:rsid w:val="10D83F17"/>
    <w:rsid w:val="1C614CFC"/>
    <w:rsid w:val="22FA361C"/>
    <w:rsid w:val="2E307C85"/>
    <w:rsid w:val="3EA82EB5"/>
    <w:rsid w:val="41584E87"/>
    <w:rsid w:val="68F5298F"/>
    <w:rsid w:val="6F5548DF"/>
    <w:rsid w:val="7884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6">
    <w:name w:val="Table Grid"/>
    <w:basedOn w:val="5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8">
    <w:name w:val="页眉 字符"/>
    <w:basedOn w:val="7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页脚 字符"/>
    <w:basedOn w:val="7"/>
    <w:link w:val="2"/>
    <w:semiHidden/>
    <w:qFormat/>
    <w:locked/>
    <w:uiPriority w:val="99"/>
    <w:rPr>
      <w:rFonts w:cs="Times New Roman"/>
      <w:sz w:val="18"/>
      <w:szCs w:val="18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C35A91-2816-4619-A9F0-A9591B2D80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311</Words>
  <Characters>1776</Characters>
  <Lines>14</Lines>
  <Paragraphs>4</Paragraphs>
  <TotalTime>256</TotalTime>
  <ScaleCrop>false</ScaleCrop>
  <LinksUpToDate>false</LinksUpToDate>
  <CharactersWithSpaces>2083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2017-04-25T01:33:00Z</dcterms:created>
  <dc:creator>微软用户</dc:creator>
  <cp:lastModifiedBy>钰</cp:lastModifiedBy>
  <dcterms:modified xsi:type="dcterms:W3CDTF">2021-10-08T08:25:26Z</dcterms:modified>
  <cp:revision>118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599310765_embed</vt:lpwstr>
  </property>
  <property fmtid="{D5CDD505-2E9C-101B-9397-08002B2CF9AE}" pid="4" name="ICV">
    <vt:lpwstr>DE05CDC7188E46BAB7F52893E907192E</vt:lpwstr>
  </property>
</Properties>
</file>