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DA" w:rsidRPr="000E1BDA" w:rsidRDefault="000E1BDA" w:rsidP="000E1BDA">
      <w:pPr>
        <w:widowControl/>
        <w:spacing w:line="480" w:lineRule="atLeast"/>
        <w:ind w:firstLine="480"/>
        <w:jc w:val="left"/>
        <w:rPr>
          <w:rFonts w:ascii="Arial" w:eastAsia="宋体" w:hAnsi="Arial" w:cs="Arial"/>
          <w:color w:val="000000"/>
          <w:kern w:val="0"/>
          <w:sz w:val="24"/>
          <w:szCs w:val="24"/>
        </w:rPr>
      </w:pPr>
      <w:r w:rsidRPr="000E1BDA">
        <w:rPr>
          <w:rFonts w:ascii="Arial" w:eastAsia="宋体" w:hAnsi="Arial" w:cs="Arial"/>
          <w:color w:val="000000"/>
          <w:kern w:val="0"/>
          <w:sz w:val="24"/>
          <w:szCs w:val="24"/>
        </w:rPr>
        <w:t>一、制定背景</w:t>
      </w:r>
    </w:p>
    <w:p w:rsidR="000E1BDA" w:rsidRPr="000E1BDA" w:rsidRDefault="000E1BDA" w:rsidP="000E1BDA">
      <w:pPr>
        <w:widowControl/>
        <w:spacing w:line="480" w:lineRule="atLeast"/>
        <w:ind w:firstLine="480"/>
        <w:jc w:val="left"/>
        <w:rPr>
          <w:rFonts w:ascii="Arial" w:eastAsia="宋体" w:hAnsi="Arial" w:cs="Arial"/>
          <w:color w:val="000000"/>
          <w:kern w:val="0"/>
          <w:sz w:val="24"/>
          <w:szCs w:val="24"/>
        </w:rPr>
      </w:pPr>
      <w:r w:rsidRPr="000E1BDA">
        <w:rPr>
          <w:rFonts w:ascii="Arial" w:eastAsia="宋体" w:hAnsi="Arial" w:cs="Arial"/>
          <w:color w:val="000000"/>
          <w:kern w:val="0"/>
          <w:sz w:val="24"/>
          <w:szCs w:val="24"/>
        </w:rPr>
        <w:t>国务院印发《盐业体制改革方案》</w:t>
      </w:r>
      <w:r w:rsidRPr="000E1BDA">
        <w:rPr>
          <w:rFonts w:ascii="Arial" w:eastAsia="宋体" w:hAnsi="Arial" w:cs="Arial"/>
          <w:color w:val="000000"/>
          <w:kern w:val="0"/>
          <w:sz w:val="24"/>
          <w:szCs w:val="24"/>
        </w:rPr>
        <w:t>(</w:t>
      </w:r>
      <w:r w:rsidRPr="000E1BDA">
        <w:rPr>
          <w:rFonts w:ascii="Arial" w:eastAsia="宋体" w:hAnsi="Arial" w:cs="Arial"/>
          <w:color w:val="000000"/>
          <w:kern w:val="0"/>
          <w:sz w:val="24"/>
          <w:szCs w:val="24"/>
        </w:rPr>
        <w:t>以下简称《方案》</w:t>
      </w:r>
      <w:r w:rsidRPr="000E1BDA">
        <w:rPr>
          <w:rFonts w:ascii="Arial" w:eastAsia="宋体" w:hAnsi="Arial" w:cs="Arial"/>
          <w:color w:val="000000"/>
          <w:kern w:val="0"/>
          <w:sz w:val="24"/>
          <w:szCs w:val="24"/>
        </w:rPr>
        <w:t>)</w:t>
      </w:r>
      <w:r w:rsidRPr="000E1BDA">
        <w:rPr>
          <w:rFonts w:ascii="Arial" w:eastAsia="宋体" w:hAnsi="Arial" w:cs="Arial"/>
          <w:color w:val="000000"/>
          <w:kern w:val="0"/>
          <w:sz w:val="24"/>
          <w:szCs w:val="24"/>
        </w:rPr>
        <w:t>，对推进盐业体制改革做出总体部署，明确从</w:t>
      </w:r>
      <w:r w:rsidRPr="000E1BDA">
        <w:rPr>
          <w:rFonts w:ascii="Arial" w:eastAsia="宋体" w:hAnsi="Arial" w:cs="Arial"/>
          <w:color w:val="000000"/>
          <w:kern w:val="0"/>
          <w:sz w:val="24"/>
          <w:szCs w:val="24"/>
        </w:rPr>
        <w:t>2017</w:t>
      </w:r>
      <w:r w:rsidRPr="000E1BDA">
        <w:rPr>
          <w:rFonts w:ascii="Arial" w:eastAsia="宋体" w:hAnsi="Arial" w:cs="Arial"/>
          <w:color w:val="000000"/>
          <w:kern w:val="0"/>
          <w:sz w:val="24"/>
          <w:szCs w:val="24"/>
        </w:rPr>
        <w:t>年</w:t>
      </w:r>
      <w:r w:rsidRPr="000E1BDA">
        <w:rPr>
          <w:rFonts w:ascii="Arial" w:eastAsia="宋体" w:hAnsi="Arial" w:cs="Arial"/>
          <w:color w:val="000000"/>
          <w:kern w:val="0"/>
          <w:sz w:val="24"/>
          <w:szCs w:val="24"/>
        </w:rPr>
        <w:t>1</w:t>
      </w:r>
      <w:r w:rsidRPr="000E1BDA">
        <w:rPr>
          <w:rFonts w:ascii="Arial" w:eastAsia="宋体" w:hAnsi="Arial" w:cs="Arial"/>
          <w:color w:val="000000"/>
          <w:kern w:val="0"/>
          <w:sz w:val="24"/>
          <w:szCs w:val="24"/>
        </w:rPr>
        <w:t>月</w:t>
      </w:r>
      <w:r w:rsidRPr="000E1BDA">
        <w:rPr>
          <w:rFonts w:ascii="Arial" w:eastAsia="宋体" w:hAnsi="Arial" w:cs="Arial"/>
          <w:color w:val="000000"/>
          <w:kern w:val="0"/>
          <w:sz w:val="24"/>
          <w:szCs w:val="24"/>
        </w:rPr>
        <w:t>1</w:t>
      </w:r>
      <w:r w:rsidRPr="000E1BDA">
        <w:rPr>
          <w:rFonts w:ascii="Arial" w:eastAsia="宋体" w:hAnsi="Arial" w:cs="Arial"/>
          <w:color w:val="000000"/>
          <w:kern w:val="0"/>
          <w:sz w:val="24"/>
          <w:szCs w:val="24"/>
        </w:rPr>
        <w:t>日开始，放开所有盐产品价格，取消食盐准运证，允许现有食盐定点生产企业进入流通销售领域，食盐批发企业可开展跨区域经营。省、市相继制定出台具体实施方案，根据《杭州市人民政府关于印发杭州市盐业体制改革实施方案的通知》（</w:t>
      </w:r>
      <w:proofErr w:type="gramStart"/>
      <w:r w:rsidRPr="000E1BDA">
        <w:rPr>
          <w:rFonts w:ascii="Arial" w:eastAsia="宋体" w:hAnsi="Arial" w:cs="Arial"/>
          <w:color w:val="000000"/>
          <w:kern w:val="0"/>
          <w:sz w:val="24"/>
          <w:szCs w:val="24"/>
        </w:rPr>
        <w:t>杭政函</w:t>
      </w:r>
      <w:proofErr w:type="gramEnd"/>
      <w:r w:rsidRPr="000E1BDA">
        <w:rPr>
          <w:rFonts w:ascii="Arial" w:eastAsia="宋体" w:hAnsi="Arial" w:cs="Arial"/>
          <w:color w:val="000000"/>
          <w:kern w:val="0"/>
          <w:sz w:val="24"/>
          <w:szCs w:val="24"/>
        </w:rPr>
        <w:t>〔</w:t>
      </w:r>
      <w:r w:rsidRPr="000E1BDA">
        <w:rPr>
          <w:rFonts w:ascii="Arial" w:eastAsia="宋体" w:hAnsi="Arial" w:cs="Arial"/>
          <w:color w:val="000000"/>
          <w:kern w:val="0"/>
          <w:sz w:val="24"/>
          <w:szCs w:val="24"/>
        </w:rPr>
        <w:t>2017</w:t>
      </w:r>
      <w:r w:rsidRPr="000E1BDA">
        <w:rPr>
          <w:rFonts w:ascii="Arial" w:eastAsia="宋体" w:hAnsi="Arial" w:cs="Arial"/>
          <w:color w:val="000000"/>
          <w:kern w:val="0"/>
          <w:sz w:val="24"/>
          <w:szCs w:val="24"/>
        </w:rPr>
        <w:t>〕</w:t>
      </w:r>
      <w:r w:rsidRPr="000E1BDA">
        <w:rPr>
          <w:rFonts w:ascii="Arial" w:eastAsia="宋体" w:hAnsi="Arial" w:cs="Arial"/>
          <w:color w:val="000000"/>
          <w:kern w:val="0"/>
          <w:sz w:val="24"/>
          <w:szCs w:val="24"/>
        </w:rPr>
        <w:t>102</w:t>
      </w:r>
      <w:r w:rsidRPr="000E1BDA">
        <w:rPr>
          <w:rFonts w:ascii="Arial" w:eastAsia="宋体" w:hAnsi="Arial" w:cs="Arial"/>
          <w:color w:val="000000"/>
          <w:kern w:val="0"/>
          <w:sz w:val="24"/>
          <w:szCs w:val="24"/>
        </w:rPr>
        <w:t>号）的要求，</w:t>
      </w:r>
      <w:r w:rsidRPr="000E1BDA">
        <w:rPr>
          <w:rFonts w:ascii="Arial" w:eastAsia="宋体" w:hAnsi="Arial" w:cs="Arial"/>
          <w:color w:val="000000"/>
          <w:kern w:val="0"/>
          <w:sz w:val="24"/>
          <w:szCs w:val="24"/>
        </w:rPr>
        <w:t>“</w:t>
      </w:r>
      <w:r w:rsidRPr="000E1BDA">
        <w:rPr>
          <w:rFonts w:ascii="Arial" w:eastAsia="宋体" w:hAnsi="Arial" w:cs="Arial"/>
          <w:color w:val="000000"/>
          <w:kern w:val="0"/>
          <w:sz w:val="24"/>
          <w:szCs w:val="24"/>
        </w:rPr>
        <w:t>各区、县（市）政府要结合实际制定具体工作方案</w:t>
      </w:r>
      <w:r w:rsidRPr="000E1BDA">
        <w:rPr>
          <w:rFonts w:ascii="Arial" w:eastAsia="宋体" w:hAnsi="Arial" w:cs="Arial"/>
          <w:color w:val="000000"/>
          <w:kern w:val="0"/>
          <w:sz w:val="24"/>
          <w:szCs w:val="24"/>
        </w:rPr>
        <w:t>”</w:t>
      </w:r>
      <w:r w:rsidRPr="000E1BDA">
        <w:rPr>
          <w:rFonts w:ascii="Arial" w:eastAsia="宋体" w:hAnsi="Arial" w:cs="Arial"/>
          <w:color w:val="000000"/>
          <w:kern w:val="0"/>
          <w:sz w:val="24"/>
          <w:szCs w:val="24"/>
        </w:rPr>
        <w:t>。</w:t>
      </w:r>
    </w:p>
    <w:p w:rsidR="000E1BDA" w:rsidRPr="000E1BDA" w:rsidRDefault="000E1BDA" w:rsidP="000E1BDA">
      <w:pPr>
        <w:widowControl/>
        <w:spacing w:line="480" w:lineRule="atLeast"/>
        <w:jc w:val="center"/>
        <w:rPr>
          <w:rFonts w:ascii="Arial" w:eastAsia="宋体" w:hAnsi="Arial" w:cs="Arial"/>
          <w:color w:val="000000"/>
          <w:kern w:val="0"/>
          <w:sz w:val="24"/>
          <w:szCs w:val="24"/>
        </w:rPr>
      </w:pPr>
      <w:r w:rsidRPr="000E1BDA">
        <w:rPr>
          <w:rFonts w:ascii="Arial" w:eastAsia="宋体" w:hAnsi="Arial" w:cs="Arial"/>
          <w:noProof/>
          <w:color w:val="000000"/>
          <w:kern w:val="0"/>
          <w:sz w:val="24"/>
          <w:szCs w:val="24"/>
        </w:rPr>
        <w:drawing>
          <wp:inline distT="0" distB="0" distL="0" distR="0">
            <wp:extent cx="5438775" cy="3409950"/>
            <wp:effectExtent l="0" t="0" r="9525" b="0"/>
            <wp:docPr id="1" name="图片 1" descr="http://zjjcmspublic.oss-cn-hangzhou-zwynet-d01-a.internet.cloud.zj.gov.cn/jcms_files/jcms1/web2096/site/picture/-1/210722171714679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jjcmspublic.oss-cn-hangzhou-zwynet-d01-a.internet.cloud.zj.gov.cn/jcms_files/jcms1/web2096/site/picture/-1/21072217171467981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8775" cy="3409950"/>
                    </a:xfrm>
                    <a:prstGeom prst="rect">
                      <a:avLst/>
                    </a:prstGeom>
                    <a:noFill/>
                    <a:ln>
                      <a:noFill/>
                    </a:ln>
                  </pic:spPr>
                </pic:pic>
              </a:graphicData>
            </a:graphic>
          </wp:inline>
        </w:drawing>
      </w:r>
    </w:p>
    <w:p w:rsidR="000E1BDA" w:rsidRPr="000E1BDA" w:rsidRDefault="000E1BDA" w:rsidP="000E1BDA">
      <w:pPr>
        <w:widowControl/>
        <w:spacing w:line="480" w:lineRule="atLeast"/>
        <w:ind w:firstLine="480"/>
        <w:jc w:val="left"/>
        <w:rPr>
          <w:rFonts w:ascii="Arial" w:eastAsia="宋体" w:hAnsi="Arial" w:cs="Arial"/>
          <w:color w:val="000000"/>
          <w:kern w:val="0"/>
          <w:sz w:val="24"/>
          <w:szCs w:val="24"/>
        </w:rPr>
      </w:pPr>
      <w:r w:rsidRPr="000E1BDA">
        <w:rPr>
          <w:rFonts w:ascii="Arial" w:eastAsia="宋体" w:hAnsi="Arial" w:cs="Arial"/>
          <w:color w:val="000000"/>
          <w:kern w:val="0"/>
          <w:sz w:val="24"/>
          <w:szCs w:val="24"/>
        </w:rPr>
        <w:t>二、制定依据</w:t>
      </w:r>
    </w:p>
    <w:p w:rsidR="000E1BDA" w:rsidRPr="000E1BDA" w:rsidRDefault="000E1BDA" w:rsidP="000E1BDA">
      <w:pPr>
        <w:widowControl/>
        <w:spacing w:line="480" w:lineRule="atLeast"/>
        <w:ind w:firstLine="480"/>
        <w:jc w:val="left"/>
        <w:rPr>
          <w:rFonts w:ascii="Arial" w:eastAsia="宋体" w:hAnsi="Arial" w:cs="Arial"/>
          <w:color w:val="000000"/>
          <w:kern w:val="0"/>
          <w:sz w:val="24"/>
          <w:szCs w:val="24"/>
        </w:rPr>
      </w:pPr>
      <w:r w:rsidRPr="000E1BDA">
        <w:rPr>
          <w:rFonts w:ascii="Arial" w:eastAsia="宋体" w:hAnsi="Arial" w:cs="Arial"/>
          <w:color w:val="000000"/>
          <w:kern w:val="0"/>
          <w:sz w:val="24"/>
          <w:szCs w:val="24"/>
        </w:rPr>
        <w:t>（一）主要事项说明</w:t>
      </w:r>
    </w:p>
    <w:p w:rsidR="000E1BDA" w:rsidRPr="000E1BDA" w:rsidRDefault="000E1BDA" w:rsidP="000E1BDA">
      <w:pPr>
        <w:widowControl/>
        <w:spacing w:line="480" w:lineRule="atLeast"/>
        <w:ind w:firstLine="480"/>
        <w:jc w:val="left"/>
        <w:rPr>
          <w:rFonts w:ascii="Arial" w:eastAsia="宋体" w:hAnsi="Arial" w:cs="Arial"/>
          <w:color w:val="000000"/>
          <w:kern w:val="0"/>
          <w:sz w:val="24"/>
          <w:szCs w:val="24"/>
        </w:rPr>
      </w:pPr>
      <w:r w:rsidRPr="000E1BDA">
        <w:rPr>
          <w:rFonts w:ascii="Arial" w:eastAsia="宋体" w:hAnsi="Arial" w:cs="Arial"/>
          <w:color w:val="000000"/>
          <w:kern w:val="0"/>
          <w:sz w:val="24"/>
          <w:szCs w:val="24"/>
        </w:rPr>
        <w:t>1.</w:t>
      </w:r>
      <w:r w:rsidRPr="000E1BDA">
        <w:rPr>
          <w:rFonts w:ascii="Arial" w:eastAsia="宋体" w:hAnsi="Arial" w:cs="Arial"/>
          <w:color w:val="000000"/>
          <w:kern w:val="0"/>
          <w:sz w:val="24"/>
          <w:szCs w:val="24"/>
        </w:rPr>
        <w:t>《浙江省人民政府关于印发浙江省盐业体制改革实施方案的通知》（浙政发〔</w:t>
      </w:r>
      <w:r w:rsidRPr="000E1BDA">
        <w:rPr>
          <w:rFonts w:ascii="Arial" w:eastAsia="宋体" w:hAnsi="Arial" w:cs="Arial"/>
          <w:color w:val="000000"/>
          <w:kern w:val="0"/>
          <w:sz w:val="24"/>
          <w:szCs w:val="24"/>
        </w:rPr>
        <w:t>2016</w:t>
      </w:r>
      <w:r w:rsidRPr="000E1BDA">
        <w:rPr>
          <w:rFonts w:ascii="Arial" w:eastAsia="宋体" w:hAnsi="Arial" w:cs="Arial"/>
          <w:color w:val="000000"/>
          <w:kern w:val="0"/>
          <w:sz w:val="24"/>
          <w:szCs w:val="24"/>
        </w:rPr>
        <w:t>〕</w:t>
      </w:r>
      <w:r w:rsidRPr="000E1BDA">
        <w:rPr>
          <w:rFonts w:ascii="Arial" w:eastAsia="宋体" w:hAnsi="Arial" w:cs="Arial"/>
          <w:color w:val="000000"/>
          <w:kern w:val="0"/>
          <w:sz w:val="24"/>
          <w:szCs w:val="24"/>
        </w:rPr>
        <w:t>49</w:t>
      </w:r>
      <w:r w:rsidRPr="000E1BDA">
        <w:rPr>
          <w:rFonts w:ascii="Arial" w:eastAsia="宋体" w:hAnsi="Arial" w:cs="Arial"/>
          <w:color w:val="000000"/>
          <w:kern w:val="0"/>
          <w:sz w:val="24"/>
          <w:szCs w:val="24"/>
        </w:rPr>
        <w:t>号）。</w:t>
      </w:r>
    </w:p>
    <w:p w:rsidR="000E1BDA" w:rsidRPr="000E1BDA" w:rsidRDefault="000E1BDA" w:rsidP="000E1BDA">
      <w:pPr>
        <w:widowControl/>
        <w:spacing w:line="480" w:lineRule="atLeast"/>
        <w:ind w:firstLine="480"/>
        <w:jc w:val="left"/>
        <w:rPr>
          <w:rFonts w:ascii="Arial" w:eastAsia="宋体" w:hAnsi="Arial" w:cs="Arial"/>
          <w:color w:val="000000"/>
          <w:kern w:val="0"/>
          <w:sz w:val="24"/>
          <w:szCs w:val="24"/>
        </w:rPr>
      </w:pPr>
      <w:r w:rsidRPr="000E1BDA">
        <w:rPr>
          <w:rFonts w:ascii="Arial" w:eastAsia="宋体" w:hAnsi="Arial" w:cs="Arial"/>
          <w:color w:val="000000"/>
          <w:kern w:val="0"/>
          <w:sz w:val="24"/>
          <w:szCs w:val="24"/>
        </w:rPr>
        <w:t>2.</w:t>
      </w:r>
      <w:r w:rsidRPr="000E1BDA">
        <w:rPr>
          <w:rFonts w:ascii="Arial" w:eastAsia="宋体" w:hAnsi="Arial" w:cs="Arial"/>
          <w:color w:val="000000"/>
          <w:kern w:val="0"/>
          <w:sz w:val="24"/>
          <w:szCs w:val="24"/>
        </w:rPr>
        <w:t>《杭州市盐业体制改革实施方案的通知》（</w:t>
      </w:r>
      <w:proofErr w:type="gramStart"/>
      <w:r w:rsidRPr="000E1BDA">
        <w:rPr>
          <w:rFonts w:ascii="Arial" w:eastAsia="宋体" w:hAnsi="Arial" w:cs="Arial"/>
          <w:color w:val="000000"/>
          <w:kern w:val="0"/>
          <w:sz w:val="24"/>
          <w:szCs w:val="24"/>
        </w:rPr>
        <w:t>杭政函</w:t>
      </w:r>
      <w:proofErr w:type="gramEnd"/>
      <w:r w:rsidRPr="000E1BDA">
        <w:rPr>
          <w:rFonts w:ascii="Arial" w:eastAsia="宋体" w:hAnsi="Arial" w:cs="Arial"/>
          <w:color w:val="000000"/>
          <w:kern w:val="0"/>
          <w:sz w:val="24"/>
          <w:szCs w:val="24"/>
        </w:rPr>
        <w:t>〔</w:t>
      </w:r>
      <w:r w:rsidRPr="000E1BDA">
        <w:rPr>
          <w:rFonts w:ascii="Arial" w:eastAsia="宋体" w:hAnsi="Arial" w:cs="Arial"/>
          <w:color w:val="000000"/>
          <w:kern w:val="0"/>
          <w:sz w:val="24"/>
          <w:szCs w:val="24"/>
        </w:rPr>
        <w:t>2017</w:t>
      </w:r>
      <w:r w:rsidRPr="000E1BDA">
        <w:rPr>
          <w:rFonts w:ascii="Arial" w:eastAsia="宋体" w:hAnsi="Arial" w:cs="Arial"/>
          <w:color w:val="000000"/>
          <w:kern w:val="0"/>
          <w:sz w:val="24"/>
          <w:szCs w:val="24"/>
        </w:rPr>
        <w:t>〕</w:t>
      </w:r>
      <w:r w:rsidRPr="000E1BDA">
        <w:rPr>
          <w:rFonts w:ascii="Arial" w:eastAsia="宋体" w:hAnsi="Arial" w:cs="Arial"/>
          <w:color w:val="000000"/>
          <w:kern w:val="0"/>
          <w:sz w:val="24"/>
          <w:szCs w:val="24"/>
        </w:rPr>
        <w:t>102</w:t>
      </w:r>
      <w:r w:rsidRPr="000E1BDA">
        <w:rPr>
          <w:rFonts w:ascii="Arial" w:eastAsia="宋体" w:hAnsi="Arial" w:cs="Arial"/>
          <w:color w:val="000000"/>
          <w:kern w:val="0"/>
          <w:sz w:val="24"/>
          <w:szCs w:val="24"/>
        </w:rPr>
        <w:t>号）。</w:t>
      </w:r>
    </w:p>
    <w:p w:rsidR="000E1BDA" w:rsidRPr="000E1BDA" w:rsidRDefault="000E1BDA" w:rsidP="000E1BDA">
      <w:pPr>
        <w:widowControl/>
        <w:spacing w:line="480" w:lineRule="atLeast"/>
        <w:ind w:firstLine="480"/>
        <w:jc w:val="left"/>
        <w:rPr>
          <w:rFonts w:ascii="Arial" w:eastAsia="宋体" w:hAnsi="Arial" w:cs="Arial"/>
          <w:color w:val="000000"/>
          <w:kern w:val="0"/>
          <w:sz w:val="24"/>
          <w:szCs w:val="24"/>
        </w:rPr>
      </w:pPr>
      <w:r w:rsidRPr="000E1BDA">
        <w:rPr>
          <w:rFonts w:ascii="Arial" w:eastAsia="宋体" w:hAnsi="Arial" w:cs="Arial"/>
          <w:color w:val="000000"/>
          <w:kern w:val="0"/>
          <w:sz w:val="24"/>
          <w:szCs w:val="24"/>
        </w:rPr>
        <w:t>三、主要内容</w:t>
      </w:r>
    </w:p>
    <w:p w:rsidR="000E1BDA" w:rsidRPr="000E1BDA" w:rsidRDefault="000E1BDA" w:rsidP="000E1BDA">
      <w:pPr>
        <w:widowControl/>
        <w:spacing w:line="480" w:lineRule="atLeast"/>
        <w:ind w:firstLine="480"/>
        <w:jc w:val="left"/>
        <w:rPr>
          <w:rFonts w:ascii="Arial" w:eastAsia="宋体" w:hAnsi="Arial" w:cs="Arial"/>
          <w:color w:val="000000"/>
          <w:kern w:val="0"/>
          <w:sz w:val="24"/>
          <w:szCs w:val="24"/>
        </w:rPr>
      </w:pPr>
      <w:r w:rsidRPr="000E1BDA">
        <w:rPr>
          <w:rFonts w:ascii="Arial" w:eastAsia="宋体" w:hAnsi="Arial" w:cs="Arial"/>
          <w:color w:val="000000"/>
          <w:kern w:val="0"/>
          <w:sz w:val="24"/>
          <w:szCs w:val="24"/>
        </w:rPr>
        <w:t>（一）总体思路，明确了盐业体制改革的总体要求。</w:t>
      </w:r>
    </w:p>
    <w:p w:rsidR="000E1BDA" w:rsidRPr="000E1BDA" w:rsidRDefault="000E1BDA" w:rsidP="000E1BDA">
      <w:pPr>
        <w:widowControl/>
        <w:spacing w:line="480" w:lineRule="atLeast"/>
        <w:ind w:firstLine="480"/>
        <w:jc w:val="left"/>
        <w:rPr>
          <w:rFonts w:ascii="Arial" w:eastAsia="宋体" w:hAnsi="Arial" w:cs="Arial"/>
          <w:color w:val="000000"/>
          <w:kern w:val="0"/>
          <w:sz w:val="24"/>
          <w:szCs w:val="24"/>
        </w:rPr>
      </w:pPr>
      <w:r w:rsidRPr="000E1BDA">
        <w:rPr>
          <w:rFonts w:ascii="Arial" w:eastAsia="宋体" w:hAnsi="Arial" w:cs="Arial"/>
          <w:color w:val="000000"/>
          <w:kern w:val="0"/>
          <w:sz w:val="24"/>
          <w:szCs w:val="24"/>
        </w:rPr>
        <w:t>（二）主要任务，从健全食盐安全保障体系和加快推进盐业管理综合改革两个方面明确了各部门的具体要求。</w:t>
      </w:r>
    </w:p>
    <w:p w:rsidR="000E1BDA" w:rsidRPr="000E1BDA" w:rsidRDefault="000E1BDA" w:rsidP="000E1BDA">
      <w:pPr>
        <w:widowControl/>
        <w:spacing w:line="480" w:lineRule="atLeast"/>
        <w:ind w:firstLine="480"/>
        <w:jc w:val="left"/>
        <w:rPr>
          <w:rFonts w:ascii="Arial" w:eastAsia="宋体" w:hAnsi="Arial" w:cs="Arial"/>
          <w:color w:val="000000"/>
          <w:kern w:val="0"/>
          <w:sz w:val="24"/>
          <w:szCs w:val="24"/>
        </w:rPr>
      </w:pPr>
      <w:r w:rsidRPr="000E1BDA">
        <w:rPr>
          <w:rFonts w:ascii="Arial" w:eastAsia="宋体" w:hAnsi="Arial" w:cs="Arial"/>
          <w:color w:val="000000"/>
          <w:kern w:val="0"/>
          <w:sz w:val="24"/>
          <w:szCs w:val="24"/>
        </w:rPr>
        <w:lastRenderedPageBreak/>
        <w:t>（三）工作要求，从加强组织领导、落实工作责任、有序推进改革等三个方面明确了盐业体制改革工作的保障措施。</w:t>
      </w:r>
    </w:p>
    <w:p w:rsidR="000E1BDA" w:rsidRPr="000E1BDA" w:rsidRDefault="000E1BDA" w:rsidP="000E1BDA">
      <w:pPr>
        <w:widowControl/>
        <w:spacing w:line="480" w:lineRule="atLeast"/>
        <w:ind w:firstLine="480"/>
        <w:jc w:val="left"/>
        <w:rPr>
          <w:rFonts w:ascii="Arial" w:eastAsia="宋体" w:hAnsi="Arial" w:cs="Arial"/>
          <w:color w:val="000000"/>
          <w:kern w:val="0"/>
          <w:sz w:val="24"/>
          <w:szCs w:val="24"/>
        </w:rPr>
      </w:pPr>
      <w:r w:rsidRPr="000E1BDA">
        <w:rPr>
          <w:rFonts w:ascii="Arial" w:eastAsia="宋体" w:hAnsi="Arial" w:cs="Arial"/>
          <w:color w:val="000000"/>
          <w:kern w:val="0"/>
          <w:sz w:val="24"/>
          <w:szCs w:val="24"/>
        </w:rPr>
        <w:t>四、解读机关</w:t>
      </w:r>
    </w:p>
    <w:p w:rsidR="000E1BDA" w:rsidRPr="000E1BDA" w:rsidRDefault="000E1BDA" w:rsidP="000E1BDA">
      <w:pPr>
        <w:widowControl/>
        <w:spacing w:line="480" w:lineRule="atLeast"/>
        <w:ind w:firstLine="480"/>
        <w:jc w:val="left"/>
        <w:rPr>
          <w:rFonts w:ascii="Arial" w:eastAsia="宋体" w:hAnsi="Arial" w:cs="Arial"/>
          <w:color w:val="000000"/>
          <w:kern w:val="0"/>
          <w:sz w:val="24"/>
          <w:szCs w:val="24"/>
        </w:rPr>
      </w:pPr>
      <w:r w:rsidRPr="000E1BDA">
        <w:rPr>
          <w:rFonts w:ascii="Arial" w:eastAsia="宋体" w:hAnsi="Arial" w:cs="Arial"/>
          <w:color w:val="000000"/>
          <w:kern w:val="0"/>
          <w:sz w:val="24"/>
          <w:szCs w:val="24"/>
        </w:rPr>
        <w:t>本《实施方案》由下城区经济和旅游局负责解读，解读人：区</w:t>
      </w:r>
      <w:proofErr w:type="gramStart"/>
      <w:r w:rsidRPr="000E1BDA">
        <w:rPr>
          <w:rFonts w:ascii="Arial" w:eastAsia="宋体" w:hAnsi="Arial" w:cs="Arial"/>
          <w:color w:val="000000"/>
          <w:kern w:val="0"/>
          <w:sz w:val="24"/>
          <w:szCs w:val="24"/>
        </w:rPr>
        <w:t>经旅局徐李蓬</w:t>
      </w:r>
      <w:proofErr w:type="gramEnd"/>
      <w:r w:rsidRPr="000E1BDA">
        <w:rPr>
          <w:rFonts w:ascii="Arial" w:eastAsia="宋体" w:hAnsi="Arial" w:cs="Arial"/>
          <w:color w:val="000000"/>
          <w:kern w:val="0"/>
          <w:sz w:val="24"/>
          <w:szCs w:val="24"/>
        </w:rPr>
        <w:t>，办公电话：</w:t>
      </w:r>
      <w:r w:rsidRPr="000E1BDA">
        <w:rPr>
          <w:rFonts w:ascii="Arial" w:eastAsia="宋体" w:hAnsi="Arial" w:cs="Arial"/>
          <w:color w:val="000000"/>
          <w:kern w:val="0"/>
          <w:sz w:val="24"/>
          <w:szCs w:val="24"/>
        </w:rPr>
        <w:t>85835005</w:t>
      </w:r>
      <w:r w:rsidRPr="000E1BDA">
        <w:rPr>
          <w:rFonts w:ascii="Arial" w:eastAsia="宋体" w:hAnsi="Arial" w:cs="Arial"/>
          <w:color w:val="000000"/>
          <w:kern w:val="0"/>
          <w:sz w:val="24"/>
          <w:szCs w:val="24"/>
        </w:rPr>
        <w:t>。</w:t>
      </w:r>
    </w:p>
    <w:p w:rsidR="00B91613" w:rsidRPr="000E1BDA" w:rsidRDefault="00B91613" w:rsidP="000E1BDA">
      <w:bookmarkStart w:id="0" w:name="_GoBack"/>
      <w:bookmarkEnd w:id="0"/>
    </w:p>
    <w:sectPr w:rsidR="00B91613" w:rsidRPr="000E1BDA" w:rsidSect="001631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0017FA"/>
    <w:rsid w:val="000E1BDA"/>
    <w:rsid w:val="0016316A"/>
    <w:rsid w:val="00217767"/>
    <w:rsid w:val="00306F69"/>
    <w:rsid w:val="00353E60"/>
    <w:rsid w:val="003801EA"/>
    <w:rsid w:val="006C433D"/>
    <w:rsid w:val="0076635C"/>
    <w:rsid w:val="009230F3"/>
    <w:rsid w:val="009F0F61"/>
    <w:rsid w:val="00A17D9D"/>
    <w:rsid w:val="00A513EB"/>
    <w:rsid w:val="00A96B74"/>
    <w:rsid w:val="00AB3A3B"/>
    <w:rsid w:val="00B91613"/>
    <w:rsid w:val="00C05908"/>
    <w:rsid w:val="00C61BCB"/>
    <w:rsid w:val="00EA288E"/>
    <w:rsid w:val="00EC0DB2"/>
    <w:rsid w:val="00F3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7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3">
      <w:bodyDiv w:val="1"/>
      <w:marLeft w:val="0"/>
      <w:marRight w:val="0"/>
      <w:marTop w:val="0"/>
      <w:marBottom w:val="0"/>
      <w:divBdr>
        <w:top w:val="none" w:sz="0" w:space="0" w:color="auto"/>
        <w:left w:val="none" w:sz="0" w:space="0" w:color="auto"/>
        <w:bottom w:val="none" w:sz="0" w:space="0" w:color="auto"/>
        <w:right w:val="none" w:sz="0" w:space="0" w:color="auto"/>
      </w:divBdr>
    </w:div>
    <w:div w:id="14113924">
      <w:bodyDiv w:val="1"/>
      <w:marLeft w:val="0"/>
      <w:marRight w:val="0"/>
      <w:marTop w:val="0"/>
      <w:marBottom w:val="0"/>
      <w:divBdr>
        <w:top w:val="none" w:sz="0" w:space="0" w:color="auto"/>
        <w:left w:val="none" w:sz="0" w:space="0" w:color="auto"/>
        <w:bottom w:val="none" w:sz="0" w:space="0" w:color="auto"/>
        <w:right w:val="none" w:sz="0" w:space="0" w:color="auto"/>
      </w:divBdr>
      <w:divsChild>
        <w:div w:id="1206404846">
          <w:marLeft w:val="0"/>
          <w:marRight w:val="0"/>
          <w:marTop w:val="0"/>
          <w:marBottom w:val="0"/>
          <w:divBdr>
            <w:top w:val="none" w:sz="0" w:space="0" w:color="auto"/>
            <w:left w:val="none" w:sz="0" w:space="0" w:color="auto"/>
            <w:bottom w:val="none" w:sz="0" w:space="0" w:color="auto"/>
            <w:right w:val="none" w:sz="0" w:space="0" w:color="auto"/>
          </w:divBdr>
        </w:div>
        <w:div w:id="919867239">
          <w:marLeft w:val="0"/>
          <w:marRight w:val="0"/>
          <w:marTop w:val="0"/>
          <w:marBottom w:val="0"/>
          <w:divBdr>
            <w:top w:val="none" w:sz="0" w:space="0" w:color="auto"/>
            <w:left w:val="none" w:sz="0" w:space="0" w:color="auto"/>
            <w:bottom w:val="none" w:sz="0" w:space="0" w:color="auto"/>
            <w:right w:val="none" w:sz="0" w:space="0" w:color="auto"/>
          </w:divBdr>
        </w:div>
      </w:divsChild>
    </w:div>
    <w:div w:id="31810789">
      <w:bodyDiv w:val="1"/>
      <w:marLeft w:val="0"/>
      <w:marRight w:val="0"/>
      <w:marTop w:val="0"/>
      <w:marBottom w:val="0"/>
      <w:divBdr>
        <w:top w:val="none" w:sz="0" w:space="0" w:color="auto"/>
        <w:left w:val="none" w:sz="0" w:space="0" w:color="auto"/>
        <w:bottom w:val="none" w:sz="0" w:space="0" w:color="auto"/>
        <w:right w:val="none" w:sz="0" w:space="0" w:color="auto"/>
      </w:divBdr>
    </w:div>
    <w:div w:id="267734613">
      <w:bodyDiv w:val="1"/>
      <w:marLeft w:val="0"/>
      <w:marRight w:val="0"/>
      <w:marTop w:val="0"/>
      <w:marBottom w:val="0"/>
      <w:divBdr>
        <w:top w:val="none" w:sz="0" w:space="0" w:color="auto"/>
        <w:left w:val="none" w:sz="0" w:space="0" w:color="auto"/>
        <w:bottom w:val="none" w:sz="0" w:space="0" w:color="auto"/>
        <w:right w:val="none" w:sz="0" w:space="0" w:color="auto"/>
      </w:divBdr>
    </w:div>
    <w:div w:id="405612345">
      <w:bodyDiv w:val="1"/>
      <w:marLeft w:val="0"/>
      <w:marRight w:val="0"/>
      <w:marTop w:val="0"/>
      <w:marBottom w:val="0"/>
      <w:divBdr>
        <w:top w:val="none" w:sz="0" w:space="0" w:color="auto"/>
        <w:left w:val="none" w:sz="0" w:space="0" w:color="auto"/>
        <w:bottom w:val="none" w:sz="0" w:space="0" w:color="auto"/>
        <w:right w:val="none" w:sz="0" w:space="0" w:color="auto"/>
      </w:divBdr>
    </w:div>
    <w:div w:id="784082056">
      <w:bodyDiv w:val="1"/>
      <w:marLeft w:val="0"/>
      <w:marRight w:val="0"/>
      <w:marTop w:val="0"/>
      <w:marBottom w:val="0"/>
      <w:divBdr>
        <w:top w:val="none" w:sz="0" w:space="0" w:color="auto"/>
        <w:left w:val="none" w:sz="0" w:space="0" w:color="auto"/>
        <w:bottom w:val="none" w:sz="0" w:space="0" w:color="auto"/>
        <w:right w:val="none" w:sz="0" w:space="0" w:color="auto"/>
      </w:divBdr>
    </w:div>
    <w:div w:id="1217812264">
      <w:bodyDiv w:val="1"/>
      <w:marLeft w:val="0"/>
      <w:marRight w:val="0"/>
      <w:marTop w:val="0"/>
      <w:marBottom w:val="0"/>
      <w:divBdr>
        <w:top w:val="none" w:sz="0" w:space="0" w:color="auto"/>
        <w:left w:val="none" w:sz="0" w:space="0" w:color="auto"/>
        <w:bottom w:val="none" w:sz="0" w:space="0" w:color="auto"/>
        <w:right w:val="none" w:sz="0" w:space="0" w:color="auto"/>
      </w:divBdr>
    </w:div>
    <w:div w:id="1283464905">
      <w:bodyDiv w:val="1"/>
      <w:marLeft w:val="0"/>
      <w:marRight w:val="0"/>
      <w:marTop w:val="0"/>
      <w:marBottom w:val="0"/>
      <w:divBdr>
        <w:top w:val="none" w:sz="0" w:space="0" w:color="auto"/>
        <w:left w:val="none" w:sz="0" w:space="0" w:color="auto"/>
        <w:bottom w:val="none" w:sz="0" w:space="0" w:color="auto"/>
        <w:right w:val="none" w:sz="0" w:space="0" w:color="auto"/>
      </w:divBdr>
    </w:div>
    <w:div w:id="1287657465">
      <w:bodyDiv w:val="1"/>
      <w:marLeft w:val="0"/>
      <w:marRight w:val="0"/>
      <w:marTop w:val="0"/>
      <w:marBottom w:val="0"/>
      <w:divBdr>
        <w:top w:val="none" w:sz="0" w:space="0" w:color="auto"/>
        <w:left w:val="none" w:sz="0" w:space="0" w:color="auto"/>
        <w:bottom w:val="none" w:sz="0" w:space="0" w:color="auto"/>
        <w:right w:val="none" w:sz="0" w:space="0" w:color="auto"/>
      </w:divBdr>
    </w:div>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413746113">
      <w:bodyDiv w:val="1"/>
      <w:marLeft w:val="0"/>
      <w:marRight w:val="0"/>
      <w:marTop w:val="0"/>
      <w:marBottom w:val="0"/>
      <w:divBdr>
        <w:top w:val="none" w:sz="0" w:space="0" w:color="auto"/>
        <w:left w:val="none" w:sz="0" w:space="0" w:color="auto"/>
        <w:bottom w:val="none" w:sz="0" w:space="0" w:color="auto"/>
        <w:right w:val="none" w:sz="0" w:space="0" w:color="auto"/>
      </w:divBdr>
    </w:div>
    <w:div w:id="1449396290">
      <w:bodyDiv w:val="1"/>
      <w:marLeft w:val="0"/>
      <w:marRight w:val="0"/>
      <w:marTop w:val="0"/>
      <w:marBottom w:val="0"/>
      <w:divBdr>
        <w:top w:val="none" w:sz="0" w:space="0" w:color="auto"/>
        <w:left w:val="none" w:sz="0" w:space="0" w:color="auto"/>
        <w:bottom w:val="none" w:sz="0" w:space="0" w:color="auto"/>
        <w:right w:val="none" w:sz="0" w:space="0" w:color="auto"/>
      </w:divBdr>
    </w:div>
    <w:div w:id="1576746076">
      <w:bodyDiv w:val="1"/>
      <w:marLeft w:val="0"/>
      <w:marRight w:val="0"/>
      <w:marTop w:val="0"/>
      <w:marBottom w:val="0"/>
      <w:divBdr>
        <w:top w:val="none" w:sz="0" w:space="0" w:color="auto"/>
        <w:left w:val="none" w:sz="0" w:space="0" w:color="auto"/>
        <w:bottom w:val="none" w:sz="0" w:space="0" w:color="auto"/>
        <w:right w:val="none" w:sz="0" w:space="0" w:color="auto"/>
      </w:divBdr>
    </w:div>
    <w:div w:id="1808820687">
      <w:bodyDiv w:val="1"/>
      <w:marLeft w:val="0"/>
      <w:marRight w:val="0"/>
      <w:marTop w:val="0"/>
      <w:marBottom w:val="0"/>
      <w:divBdr>
        <w:top w:val="none" w:sz="0" w:space="0" w:color="auto"/>
        <w:left w:val="none" w:sz="0" w:space="0" w:color="auto"/>
        <w:bottom w:val="none" w:sz="0" w:space="0" w:color="auto"/>
        <w:right w:val="none" w:sz="0" w:space="0" w:color="auto"/>
      </w:divBdr>
    </w:div>
    <w:div w:id="1873569168">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 w:id="2022931538">
      <w:bodyDiv w:val="1"/>
      <w:marLeft w:val="0"/>
      <w:marRight w:val="0"/>
      <w:marTop w:val="0"/>
      <w:marBottom w:val="0"/>
      <w:divBdr>
        <w:top w:val="none" w:sz="0" w:space="0" w:color="auto"/>
        <w:left w:val="none" w:sz="0" w:space="0" w:color="auto"/>
        <w:bottom w:val="none" w:sz="0" w:space="0" w:color="auto"/>
        <w:right w:val="none" w:sz="0" w:space="0" w:color="auto"/>
      </w:divBdr>
    </w:div>
    <w:div w:id="2129081872">
      <w:bodyDiv w:val="1"/>
      <w:marLeft w:val="0"/>
      <w:marRight w:val="0"/>
      <w:marTop w:val="0"/>
      <w:marBottom w:val="0"/>
      <w:divBdr>
        <w:top w:val="none" w:sz="0" w:space="0" w:color="auto"/>
        <w:left w:val="none" w:sz="0" w:space="0" w:color="auto"/>
        <w:bottom w:val="none" w:sz="0" w:space="0" w:color="auto"/>
        <w:right w:val="none" w:sz="0" w:space="0" w:color="auto"/>
      </w:divBdr>
      <w:divsChild>
        <w:div w:id="442698194">
          <w:marLeft w:val="0"/>
          <w:marRight w:val="0"/>
          <w:marTop w:val="0"/>
          <w:marBottom w:val="0"/>
          <w:divBdr>
            <w:top w:val="none" w:sz="0" w:space="0" w:color="auto"/>
            <w:left w:val="none" w:sz="0" w:space="0" w:color="auto"/>
            <w:bottom w:val="none" w:sz="0" w:space="0" w:color="auto"/>
            <w:right w:val="none" w:sz="0" w:space="0" w:color="auto"/>
          </w:divBdr>
        </w:div>
        <w:div w:id="122218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19</cp:revision>
  <dcterms:created xsi:type="dcterms:W3CDTF">2021-07-22T02:15:00Z</dcterms:created>
  <dcterms:modified xsi:type="dcterms:W3CDTF">2021-07-22T09:17:00Z</dcterms:modified>
</cp:coreProperties>
</file>