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ind w:firstLine="360"/>
        <w:jc w:val="center"/>
        <w:rPr>
          <w:rFonts w:ascii="方正小标宋简体" w:hAnsi="黑体" w:eastAsia="方正小标宋简体"/>
          <w:snapToGrid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2021年区政府民生实事项目进展情况（截至10月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初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</w:rPr>
        <w:t>）</w:t>
      </w:r>
    </w:p>
    <w:tbl>
      <w:tblPr>
        <w:tblStyle w:val="5"/>
        <w:tblW w:w="15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585"/>
        <w:gridCol w:w="2007"/>
        <w:gridCol w:w="4870"/>
        <w:gridCol w:w="1215"/>
        <w:gridCol w:w="6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序号</w:t>
            </w:r>
          </w:p>
        </w:tc>
        <w:tc>
          <w:tcPr>
            <w:tcW w:w="2007" w:type="dxa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项目名称</w:t>
            </w:r>
          </w:p>
        </w:tc>
        <w:tc>
          <w:tcPr>
            <w:tcW w:w="4870" w:type="dxa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工作任务</w:t>
            </w:r>
          </w:p>
        </w:tc>
        <w:tc>
          <w:tcPr>
            <w:tcW w:w="121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牵头单位</w:t>
            </w:r>
          </w:p>
        </w:tc>
        <w:tc>
          <w:tcPr>
            <w:tcW w:w="6460" w:type="dxa"/>
            <w:vAlign w:val="center"/>
          </w:tcPr>
          <w:p>
            <w:pPr>
              <w:snapToGrid w:val="0"/>
              <w:ind w:left="-42" w:leftChars="-20" w:right="-42" w:rightChars="-20"/>
              <w:jc w:val="center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当前进展情况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“百姓安居”回迁安置项目</w:t>
            </w: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left="-57" w:leftChars="-27" w:right="-279" w:rightChars="-13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安置房62万平方米（3911套）达到交付条件。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区城改办</w:t>
            </w: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安置房62万平方米（3911套）达到交付条件。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完成回迁安置1200户。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完成</w:t>
            </w:r>
            <w:r>
              <w:rPr>
                <w:rFonts w:hint="eastAsia" w:ascii="Times New Roman" w:hAnsi="Times New Roman" w:eastAsia="仿宋_GB2312"/>
                <w:sz w:val="24"/>
              </w:rPr>
              <w:t>回迁安置</w:t>
            </w:r>
            <w:r>
              <w:rPr>
                <w:rFonts w:ascii="Times New Roman" w:hAnsi="Times New Roman" w:eastAsia="仿宋_GB2312"/>
                <w:sz w:val="24"/>
              </w:rPr>
              <w:t>630户。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完成25个安置房246万平方米主体结顶。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完成19个安置房174万平方米主体结顶，其余6个施工中。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二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“旧貌换新颜”老旧小区综合改造提升、既有住宅加装电梯项目</w:t>
            </w: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全面完成66个老旧小区（含美丽小巷）综合改造提升项目，实现全区老旧小区改造提升全覆盖。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区住建局</w:t>
            </w: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开工</w:t>
            </w:r>
            <w:r>
              <w:rPr>
                <w:rFonts w:hint="eastAsia" w:ascii="Times New Roman" w:hAnsi="Times New Roman" w:eastAsia="仿宋_GB2312"/>
                <w:sz w:val="24"/>
              </w:rPr>
              <w:t>66</w:t>
            </w:r>
            <w:r>
              <w:rPr>
                <w:rFonts w:ascii="Times New Roman" w:hAnsi="Times New Roman" w:eastAsia="仿宋_GB2312"/>
                <w:sz w:val="24"/>
              </w:rPr>
              <w:t>个，其中完工2</w:t>
            </w: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ascii="Times New Roman" w:hAnsi="Times New Roman" w:eastAsia="仿宋_GB2312"/>
                <w:sz w:val="24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完成既有住宅加装电梯165台。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pStyle w:val="7"/>
              <w:spacing w:line="320" w:lineRule="exact"/>
              <w:ind w:left="-23" w:leftChars="-11" w:right="-111" w:rightChars="-53" w:firstLine="0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方案联审310台，完工127台，施工145台，进场准备38台。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三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“高品质就学”校园建设项目</w:t>
            </w: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开工5所校园。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区教育局</w:t>
            </w: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开工4所校园，其余1所处于开工前期准备阶段。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7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竣工10所校园。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竣工8所校园。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四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8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“舒心就医”医疗设施提升项目</w:t>
            </w: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续建1家医院。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区卫健局</w:t>
            </w:r>
          </w:p>
        </w:tc>
        <w:tc>
          <w:tcPr>
            <w:tcW w:w="6460" w:type="dxa"/>
            <w:vAlign w:val="center"/>
          </w:tcPr>
          <w:p>
            <w:pPr>
              <w:pStyle w:val="7"/>
              <w:spacing w:line="320" w:lineRule="exact"/>
              <w:ind w:left="-23" w:leftChars="-11" w:right="-111" w:rightChars="-53" w:firstLine="0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01地块主体结构超额完成70%；02地块负一层完成90%，顶板完成65%。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9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完成6家社区卫生服务中心提升改造。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长庆潮鸣中心工程处于施工阶段，完成总进度的65%；朝晖中心处于招投标阶段；东新中心外立面及外环境提升改造处于施工阶段；完成拱宸桥中心体检中心提升改造；石桥街道社区卫生服务中心改造工程处于施工阶段；上塘中心目前已结顶完成总工程量90%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10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建成（迁建）4家社区卫生服务站。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pStyle w:val="7"/>
              <w:spacing w:line="320" w:lineRule="exact"/>
              <w:ind w:left="-23" w:leftChars="-11" w:right="-111" w:rightChars="-53" w:firstLine="0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已建成（迁建）花园岗站、谢村站、万家星城站、拱宸站4家社区卫生服务站。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五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11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napToGrid w:val="0"/>
              <w:spacing w:line="320" w:lineRule="exact"/>
              <w:ind w:left="-40" w:leftChars="-19" w:right="-162" w:rightChars="-77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“爱心助残”无障碍环境建设及助残服务提升项目</w:t>
            </w:r>
          </w:p>
          <w:p>
            <w:pPr>
              <w:snapToGrid w:val="0"/>
              <w:spacing w:line="320" w:lineRule="exact"/>
              <w:ind w:left="-40" w:leftChars="-19" w:right="-162" w:rightChars="-77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“爱心助残”无障碍环境建设及助残服务提升项目</w:t>
            </w: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完成30条道路无障碍设施提升改造。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区综合行政执法局</w:t>
            </w: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完工27条道路，剩余预计10月底完成。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12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10座公厕无障碍设施提升改造。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完工</w:t>
            </w:r>
            <w:r>
              <w:rPr>
                <w:rFonts w:hint="eastAsia" w:ascii="Times New Roman" w:hAnsi="Times New Roman" w:eastAsia="仿宋_GB2312"/>
                <w:sz w:val="24"/>
              </w:rPr>
              <w:t>10</w:t>
            </w:r>
            <w:r>
              <w:rPr>
                <w:rFonts w:ascii="Times New Roman" w:hAnsi="Times New Roman" w:eastAsia="仿宋_GB2312"/>
                <w:sz w:val="24"/>
              </w:rPr>
              <w:t>座公厕。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13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139" w:rightChars="-66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完成60户残疾人家庭无障碍设施设备改造。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区残联</w:t>
            </w:r>
          </w:p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区残联</w:t>
            </w: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超额</w:t>
            </w:r>
            <w:r>
              <w:rPr>
                <w:rFonts w:ascii="Times New Roman" w:hAnsi="Times New Roman" w:eastAsia="仿宋_GB2312"/>
                <w:sz w:val="24"/>
              </w:rPr>
              <w:t>完工</w:t>
            </w:r>
            <w:r>
              <w:rPr>
                <w:rFonts w:hint="eastAsia" w:ascii="Times New Roman" w:hAnsi="Times New Roman" w:eastAsia="仿宋_GB2312"/>
                <w:sz w:val="24"/>
              </w:rPr>
              <w:t>86</w:t>
            </w:r>
            <w:r>
              <w:rPr>
                <w:rFonts w:ascii="Times New Roman" w:hAnsi="Times New Roman" w:eastAsia="仿宋_GB2312"/>
                <w:sz w:val="24"/>
              </w:rPr>
              <w:t>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14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建成2个省级无障碍社区。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超额建成5个省级无障碍社区。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15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完成5个“残疾人之家”规范提升。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超额完成6个“残疾人之家”规范提升。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16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完成4家残疾儿童康复机构规范提升。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超额完成5家残疾儿童康复机构规范提升。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613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六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17</w:t>
            </w:r>
          </w:p>
        </w:tc>
        <w:tc>
          <w:tcPr>
            <w:tcW w:w="2007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“温暖掌心”全区公办中小学、幼儿园温水龙头改造项目</w:t>
            </w: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完成166个校区温水自动感应洗手装置改造，实现全区公办中小学、幼儿园全覆盖。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区教育局</w:t>
            </w: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完成60个校区的改造工作，其余预计10月底完成。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七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18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“建党百年”文化惠民系列活动</w:t>
            </w: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投用运河大剧院。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区文广</w:t>
            </w:r>
          </w:p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旅体局</w:t>
            </w: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已正式启用。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19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建成运河亚运公园、北景园生态公园1期。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pStyle w:val="7"/>
              <w:spacing w:line="320" w:lineRule="exact"/>
              <w:ind w:left="-23" w:leftChars="-11" w:right="-111" w:rightChars="-53" w:firstLine="0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完成运河亚运公园场馆建设，电竞场馆施工已进入收尾阶段。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建成城市书房5家。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完成城市书房建设5家。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21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社区文化家园27家。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pacing w:line="320" w:lineRule="exact"/>
              <w:ind w:left="-23" w:leftChars="-11" w:right="-111" w:rightChars="-53"/>
              <w:rPr>
                <w:rFonts w:ascii="Times New Roman" w:hAnsi="Times New Roman" w:eastAsia="仿宋_GB2312"/>
                <w:sz w:val="24"/>
                <w:lang w:bidi="zh-TW"/>
              </w:rPr>
            </w:pPr>
            <w:r>
              <w:rPr>
                <w:rFonts w:hint="eastAsia" w:ascii="Times New Roman" w:hAnsi="Times New Roman" w:eastAsia="仿宋_GB2312"/>
                <w:sz w:val="24"/>
                <w:lang w:bidi="zh-TW"/>
              </w:rPr>
              <w:t>完成8个社区文化家园建设，其余19个建设中。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22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完成26处健身苑点建设、更新。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  <w:lang w:bidi="zh-TW"/>
              </w:rPr>
            </w:pPr>
            <w:r>
              <w:rPr>
                <w:rFonts w:hint="eastAsia" w:ascii="Times New Roman" w:hAnsi="Times New Roman" w:eastAsia="仿宋_GB2312"/>
                <w:sz w:val="24"/>
                <w:lang w:bidi="zh-TW"/>
              </w:rPr>
              <w:t>完成26处健身苑点建设。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23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完成3家百姓健身房建设。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完成</w:t>
            </w: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ascii="Times New Roman" w:hAnsi="Times New Roman" w:eastAsia="仿宋_GB2312"/>
                <w:sz w:val="24"/>
              </w:rPr>
              <w:t>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24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完成200场文化交流展示活动。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完成文化交流展示活动</w:t>
            </w:r>
            <w:r>
              <w:rPr>
                <w:rFonts w:hint="eastAsia" w:ascii="Times New Roman" w:hAnsi="Times New Roman" w:eastAsia="仿宋_GB2312"/>
                <w:sz w:val="24"/>
              </w:rPr>
              <w:t>260</w:t>
            </w:r>
            <w:r>
              <w:rPr>
                <w:rFonts w:ascii="Times New Roman" w:hAnsi="Times New Roman" w:eastAsia="仿宋_GB2312"/>
                <w:sz w:val="24"/>
              </w:rPr>
              <w:t>余场。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八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25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“阳光小伢儿”0-3岁婴幼儿照护服务项目</w:t>
            </w: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完成16家普惠型托育机构建设。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区卫健局</w:t>
            </w: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完成普惠型托育机构建设1</w:t>
            </w: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ascii="Times New Roman" w:hAnsi="Times New Roman" w:eastAsia="仿宋_GB2312"/>
                <w:sz w:val="24"/>
              </w:rPr>
              <w:t>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26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完成18家成长驿站建设。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完成</w:t>
            </w:r>
            <w:r>
              <w:rPr>
                <w:rFonts w:hint="eastAsia" w:ascii="Times New Roman" w:hAnsi="Times New Roman" w:eastAsia="仿宋_GB2312"/>
                <w:sz w:val="24"/>
              </w:rPr>
              <w:t>17</w:t>
            </w:r>
            <w:r>
              <w:rPr>
                <w:rFonts w:ascii="Times New Roman" w:hAnsi="Times New Roman" w:eastAsia="仿宋_GB2312"/>
                <w:sz w:val="24"/>
              </w:rPr>
              <w:t>家</w:t>
            </w:r>
            <w:r>
              <w:rPr>
                <w:rFonts w:hint="eastAsia" w:ascii="Times New Roman" w:hAnsi="Times New Roman" w:eastAsia="仿宋_GB2312"/>
                <w:sz w:val="24"/>
              </w:rPr>
              <w:t>成长</w:t>
            </w:r>
            <w:r>
              <w:rPr>
                <w:rFonts w:ascii="Times New Roman" w:hAnsi="Times New Roman" w:eastAsia="仿宋_GB2312"/>
                <w:sz w:val="24"/>
              </w:rPr>
              <w:t>驿站</w:t>
            </w:r>
            <w:r>
              <w:rPr>
                <w:rFonts w:hint="eastAsia" w:ascii="Times New Roman" w:hAnsi="Times New Roman" w:eastAsia="仿宋_GB2312"/>
                <w:sz w:val="24"/>
              </w:rPr>
              <w:t>建设</w:t>
            </w:r>
            <w:r>
              <w:rPr>
                <w:rFonts w:ascii="Times New Roman" w:hAnsi="Times New Roman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九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27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“阳光老人家”养老服务项目</w:t>
            </w: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完成2家（东新街道德胜东村、半山街道）街道级居家养老服务中心建设。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区民政局</w:t>
            </w: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完成5家</w:t>
            </w:r>
            <w:r>
              <w:rPr>
                <w:rFonts w:hint="eastAsia" w:ascii="Times New Roman" w:hAnsi="Times New Roman" w:eastAsia="仿宋_GB2312"/>
                <w:sz w:val="24"/>
              </w:rPr>
              <w:t>街道级居家养老服务中心建设</w:t>
            </w:r>
            <w:r>
              <w:rPr>
                <w:rFonts w:ascii="Times New Roman" w:hAnsi="Times New Roman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28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完成4家康养服务联合体建设。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建成4家</w:t>
            </w:r>
            <w:r>
              <w:rPr>
                <w:rFonts w:hint="eastAsia" w:ascii="Times New Roman" w:hAnsi="Times New Roman" w:eastAsia="仿宋_GB2312"/>
                <w:sz w:val="24"/>
              </w:rPr>
              <w:t>康养服务联合体建设</w:t>
            </w:r>
            <w:r>
              <w:rPr>
                <w:rFonts w:ascii="Times New Roman" w:hAnsi="Times New Roman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29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新增养老机构床位270张。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新增养老床位289张。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30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完成180户适老化改造。</w:t>
            </w:r>
          </w:p>
        </w:tc>
        <w:tc>
          <w:tcPr>
            <w:tcW w:w="1215" w:type="dxa"/>
            <w:vMerge w:val="continue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完成</w:t>
            </w:r>
            <w:r>
              <w:rPr>
                <w:rFonts w:hint="eastAsia" w:ascii="Times New Roman" w:hAnsi="Times New Roman" w:eastAsia="仿宋_GB2312"/>
                <w:sz w:val="24"/>
              </w:rPr>
              <w:t>216</w:t>
            </w:r>
            <w:r>
              <w:rPr>
                <w:rFonts w:ascii="Times New Roman" w:hAnsi="Times New Roman" w:eastAsia="仿宋_GB2312"/>
                <w:sz w:val="24"/>
              </w:rPr>
              <w:t>户家庭改造。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13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十</w:t>
            </w:r>
          </w:p>
        </w:tc>
        <w:tc>
          <w:tcPr>
            <w:tcW w:w="585" w:type="dxa"/>
            <w:vAlign w:val="center"/>
          </w:tcPr>
          <w:p>
            <w:pPr>
              <w:snapToGrid w:val="0"/>
              <w:spacing w:line="276" w:lineRule="auto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31</w:t>
            </w:r>
          </w:p>
        </w:tc>
        <w:tc>
          <w:tcPr>
            <w:tcW w:w="2007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“放心饮水”供水设施改造项目</w:t>
            </w:r>
          </w:p>
        </w:tc>
        <w:tc>
          <w:tcPr>
            <w:tcW w:w="4870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完成24个小区二次供水设施改造。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320" w:lineRule="exact"/>
              <w:ind w:right="-42" w:rightChars="-2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区综合行政执法局</w:t>
            </w:r>
          </w:p>
        </w:tc>
        <w:tc>
          <w:tcPr>
            <w:tcW w:w="6460" w:type="dxa"/>
            <w:vAlign w:val="center"/>
          </w:tcPr>
          <w:p>
            <w:pPr>
              <w:snapToGrid w:val="0"/>
              <w:spacing w:line="320" w:lineRule="exact"/>
              <w:ind w:left="-23" w:leftChars="-11" w:right="-111" w:rightChars="-53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完成24个小区二次供水设施改造。</w:t>
            </w:r>
          </w:p>
        </w:tc>
      </w:tr>
    </w:tbl>
    <w:p>
      <w:pPr>
        <w:spacing w:line="40" w:lineRule="exact"/>
        <w:rPr>
          <w:rFonts w:ascii="仿宋_GB2312" w:hAnsi="仿宋" w:eastAsia="仿宋_GB2312"/>
          <w:color w:val="0000FF"/>
          <w:sz w:val="6"/>
          <w:szCs w:val="6"/>
        </w:rPr>
      </w:pPr>
    </w:p>
    <w:p/>
    <w:sectPr>
      <w:pgSz w:w="16838" w:h="11906" w:orient="landscape"/>
      <w:pgMar w:top="1417" w:right="2098" w:bottom="1417" w:left="198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76B69"/>
    <w:rsid w:val="20A57B28"/>
    <w:rsid w:val="28034597"/>
    <w:rsid w:val="29731BE0"/>
    <w:rsid w:val="3A476B69"/>
    <w:rsid w:val="78287A4C"/>
    <w:rsid w:val="7A00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kern w:val="0"/>
      <w:sz w:val="52"/>
      <w:szCs w:val="20"/>
    </w:rPr>
  </w:style>
  <w:style w:type="paragraph" w:styleId="3">
    <w:name w:val="Body Text"/>
    <w:basedOn w:val="1"/>
    <w:unhideWhenUsed/>
    <w:qFormat/>
    <w:uiPriority w:val="99"/>
    <w:pPr>
      <w:spacing w:line="560" w:lineRule="exact"/>
      <w:ind w:firstLine="880" w:firstLineChars="200"/>
    </w:pPr>
    <w:rPr>
      <w:rFonts w:eastAsia="仿宋_GB2312"/>
      <w:sz w:val="32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paragraph" w:customStyle="1" w:styleId="7">
    <w:name w:val="Other|1"/>
    <w:basedOn w:val="1"/>
    <w:qFormat/>
    <w:uiPriority w:val="0"/>
    <w:pPr>
      <w:spacing w:line="437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2021-10-27T02:37:00Z</dcterms:created>
  <dc:creator>Administrator</dc:creator>
  <cp:lastModifiedBy>Administrator</cp:lastModifiedBy>
  <dcterms:modified xsi:type="dcterms:W3CDTF">2021-11-15T09:36:33Z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2AC815A28D5649D4AF15DD0D9C8A21EB</vt:lpwstr>
  </property>
</Properties>
</file>