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方正小标宋简体" w:hAnsi="黑体" w:eastAsia="方正小标宋简体"/>
          <w:snapToGrid w:val="0"/>
          <w:kern w:val="0"/>
          <w:sz w:val="44"/>
          <w:szCs w:val="44"/>
        </w:rPr>
      </w:pPr>
      <w:r>
        <w:rPr>
          <w:rFonts w:hint="eastAsia" w:ascii="楷体_GB2312" w:eastAsia="楷体_GB2312"/>
          <w:snapToGrid w:val="0"/>
          <w:kern w:val="0"/>
          <w:sz w:val="28"/>
          <w:szCs w:val="28"/>
        </w:rPr>
        <w:t>区七届人大四次会议文件（17）</w:t>
      </w:r>
    </w:p>
    <w:p>
      <w:pPr>
        <w:adjustRightInd w:val="0"/>
        <w:snapToGrid w:val="0"/>
        <w:rPr>
          <w:rFonts w:ascii="Times New Roman" w:hAnsi="Times New Roman" w:eastAsia="方正小标宋简体"/>
          <w:snapToGrid w:val="0"/>
          <w:kern w:val="0"/>
          <w:sz w:val="44"/>
          <w:szCs w:val="44"/>
        </w:rPr>
      </w:pPr>
    </w:p>
    <w:p>
      <w:pPr>
        <w:adjustRightInd w:val="0"/>
        <w:snapToGrid w:val="0"/>
        <w:jc w:val="center"/>
        <w:rPr>
          <w:rFonts w:ascii="Times New Roman" w:hAnsi="Times New Roman" w:eastAsia="方正小标宋简体"/>
          <w:snapToGrid w:val="0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snapToGrid w:val="0"/>
          <w:kern w:val="0"/>
          <w:sz w:val="44"/>
          <w:szCs w:val="44"/>
        </w:rPr>
        <w:t>政 府 工 作 报 告</w:t>
      </w:r>
    </w:p>
    <w:p>
      <w:pPr>
        <w:adjustRightInd w:val="0"/>
        <w:snapToGrid w:val="0"/>
        <w:rPr>
          <w:rFonts w:ascii="楷体_GB2312" w:hAnsi="Times New Roman" w:eastAsia="楷体_GB2312" w:cs="Times New Roman"/>
          <w:snapToGrid w:val="0"/>
          <w:spacing w:val="-4"/>
          <w:kern w:val="0"/>
        </w:rPr>
      </w:pPr>
      <w:r>
        <w:rPr>
          <w:rFonts w:hint="eastAsia" w:ascii="楷体_GB2312" w:hAnsi="Times New Roman" w:eastAsia="楷体_GB2312" w:cs="楷体_GB2312"/>
          <w:bCs/>
          <w:snapToGrid w:val="0"/>
          <w:spacing w:val="-4"/>
          <w:kern w:val="0"/>
        </w:rPr>
        <w:t>（</w:t>
      </w:r>
      <w:r>
        <w:rPr>
          <w:rFonts w:hint="eastAsia" w:ascii="楷体_GB2312" w:hAnsi="Times New Roman" w:eastAsia="楷体_GB2312" w:cs="Times New Roman"/>
          <w:bCs/>
          <w:snapToGrid w:val="0"/>
          <w:spacing w:val="-4"/>
          <w:kern w:val="0"/>
        </w:rPr>
        <w:t>2020</w:t>
      </w:r>
      <w:r>
        <w:rPr>
          <w:rFonts w:hint="eastAsia" w:ascii="楷体_GB2312" w:hAnsi="Times New Roman" w:eastAsia="楷体_GB2312" w:cs="楷体_GB2312"/>
          <w:bCs/>
          <w:snapToGrid w:val="0"/>
          <w:spacing w:val="-4"/>
          <w:kern w:val="0"/>
        </w:rPr>
        <w:t>年1月18日在拱墅区第七届人民代表大会第四次会议上）</w:t>
      </w:r>
    </w:p>
    <w:p>
      <w:pPr>
        <w:pStyle w:val="2"/>
        <w:adjustRightInd w:val="0"/>
        <w:snapToGrid w:val="0"/>
        <w:spacing w:beforeAutospacing="0" w:afterAutospacing="0"/>
        <w:jc w:val="center"/>
        <w:rPr>
          <w:rFonts w:ascii="楷体_GB2312" w:eastAsia="楷体_GB2312"/>
          <w:b w:val="0"/>
          <w:snapToGrid w:val="0"/>
          <w:kern w:val="0"/>
          <w:sz w:val="32"/>
          <w:szCs w:val="32"/>
        </w:rPr>
      </w:pPr>
      <w:r>
        <w:rPr>
          <w:rFonts w:hint="eastAsia" w:ascii="楷体_GB2312" w:eastAsia="楷体_GB2312"/>
          <w:b w:val="0"/>
          <w:snapToGrid w:val="0"/>
          <w:kern w:val="0"/>
          <w:sz w:val="32"/>
          <w:szCs w:val="32"/>
        </w:rPr>
        <w:t>拱墅区人民政府区长  章  燕</w:t>
      </w:r>
    </w:p>
    <w:p>
      <w:pPr>
        <w:pStyle w:val="2"/>
        <w:adjustRightInd w:val="0"/>
        <w:snapToGrid w:val="0"/>
        <w:spacing w:beforeAutospacing="0" w:afterAutospacing="0"/>
        <w:jc w:val="both"/>
      </w:pPr>
    </w:p>
    <w:p>
      <w:pPr>
        <w:adjustRightInd w:val="0"/>
        <w:snapToGrid w:val="0"/>
        <w:rPr>
          <w:rFonts w:ascii="Times New Roman" w:hAnsi="Times New Roman" w:cs="Times New Roman"/>
          <w:snapToGrid w:val="0"/>
          <w:kern w:val="0"/>
        </w:rPr>
      </w:pPr>
      <w:r>
        <w:rPr>
          <w:rFonts w:ascii="Times New Roman" w:hAnsi="Times New Roman" w:cs="Times New Roman"/>
          <w:snapToGrid w:val="0"/>
          <w:kern w:val="0"/>
        </w:rPr>
        <w:t>各位代表：</w:t>
      </w:r>
    </w:p>
    <w:p>
      <w:pPr>
        <w:adjustRightInd w:val="0"/>
        <w:snapToGrid w:val="0"/>
        <w:ind w:firstLine="640" w:firstLineChars="200"/>
        <w:rPr>
          <w:rFonts w:ascii="Times New Roman" w:hAnsi="Times New Roman" w:cs="Times New Roman"/>
          <w:snapToGrid w:val="0"/>
          <w:kern w:val="0"/>
        </w:rPr>
      </w:pPr>
      <w:r>
        <w:rPr>
          <w:rFonts w:ascii="Times New Roman" w:hAnsi="Times New Roman" w:cs="Times New Roman"/>
          <w:snapToGrid w:val="0"/>
          <w:kern w:val="0"/>
        </w:rPr>
        <w:t>现在，我代表区人民政府向大会报告工作，请予审议，并请区政协各位委员和其他列席人员提出意见。</w:t>
      </w:r>
    </w:p>
    <w:p>
      <w:pPr>
        <w:adjustRightInd w:val="0"/>
        <w:snapToGrid w:val="0"/>
        <w:ind w:firstLine="640" w:firstLineChars="200"/>
        <w:rPr>
          <w:rFonts w:ascii="Times New Roman" w:hAnsi="Times New Roman" w:cs="Times New Roman"/>
          <w:snapToGrid w:val="0"/>
          <w:kern w:val="0"/>
        </w:rPr>
      </w:pPr>
    </w:p>
    <w:p>
      <w:pPr>
        <w:adjustRightInd w:val="0"/>
        <w:snapToGrid w:val="0"/>
        <w:jc w:val="center"/>
        <w:rPr>
          <w:rFonts w:ascii="黑体" w:hAnsi="黑体" w:eastAsia="黑体"/>
        </w:rPr>
      </w:pPr>
      <w:r>
        <w:rPr>
          <w:rFonts w:ascii="黑体" w:hAnsi="黑体" w:eastAsia="黑体"/>
        </w:rPr>
        <w:t>一、2019年工作回顾</w:t>
      </w:r>
    </w:p>
    <w:p>
      <w:pPr>
        <w:adjustRightInd w:val="0"/>
        <w:snapToGrid w:val="0"/>
      </w:pPr>
    </w:p>
    <w:p>
      <w:pPr>
        <w:adjustRightInd w:val="0"/>
        <w:snapToGrid w:val="0"/>
        <w:ind w:firstLine="640" w:firstLineChars="200"/>
        <w:rPr>
          <w:rFonts w:ascii="仿宋_GB2312"/>
          <w:snapToGrid w:val="0"/>
          <w:kern w:val="0"/>
        </w:rPr>
      </w:pPr>
      <w:r>
        <w:rPr>
          <w:rFonts w:hint="eastAsia" w:ascii="仿宋_GB2312"/>
          <w:snapToGrid w:val="0"/>
          <w:kern w:val="0"/>
        </w:rPr>
        <w:t>2019年是新中国成立70周年，也是拱墅全面由“</w:t>
      </w:r>
      <w:r>
        <w:rPr>
          <w:rFonts w:hint="eastAsia" w:ascii="仿宋_GB2312" w:hAnsi="仿宋_GB2312" w:cs="仿宋_GB2312"/>
          <w:snapToGrid w:val="0"/>
          <w:kern w:val="0"/>
        </w:rPr>
        <w:t>破”转“立”迈向高质量发展的攻坚之年。在市委、市政府和区委的坚强领导下，在区人大、政协和社会各界的监督支持下，我们以习近平新时代中国特色社会主义思想为指导，坚持稳中求进工作总基调，深入贯彻新发展理念，围绕“八八战略”再深化、改革开放再出发，聚力建设运河沿岸名区，全面落实市委“六大行动”部署，扎实推进“</w:t>
      </w:r>
      <w:r>
        <w:rPr>
          <w:rFonts w:hint="eastAsia" w:ascii="仿宋_GB2312"/>
          <w:snapToGrid w:val="0"/>
          <w:kern w:val="0"/>
        </w:rPr>
        <w:t>6+4”专项行动，持续打好高质量发展组合拳，圆满完成十件民生实事，全区经济社会实现平稳健康发展。</w:t>
      </w:r>
    </w:p>
    <w:p>
      <w:pPr>
        <w:adjustRightInd w:val="0"/>
        <w:snapToGrid w:val="0"/>
        <w:ind w:firstLine="643" w:firstLineChars="200"/>
        <w:rPr>
          <w:rFonts w:ascii="Times New Roman" w:hAnsi="Times New Roman" w:cs="Times New Roman"/>
          <w:snapToGrid w:val="0"/>
          <w:kern w:val="0"/>
          <w:lang w:val="zh-CN"/>
        </w:rPr>
      </w:pPr>
      <w:r>
        <w:rPr>
          <w:rFonts w:hint="eastAsia" w:ascii="Times New Roman" w:hAnsi="Times New Roman" w:eastAsia="楷体_GB2312" w:cs="Times New Roman"/>
          <w:b/>
          <w:bCs/>
          <w:snapToGrid w:val="0"/>
          <w:kern w:val="0"/>
        </w:rPr>
        <w:t>（一）全力稳企业稳增长，经济实力跃上新台阶。</w:t>
      </w:r>
      <w:r>
        <w:rPr>
          <w:rFonts w:hint="eastAsia" w:ascii="仿宋_GB2312" w:hAnsi="Times New Roman" w:cs="Times New Roman"/>
          <w:snapToGrid w:val="0"/>
          <w:kern w:val="0"/>
          <w:lang w:val="zh-CN"/>
        </w:rPr>
        <w:t>全面贯彻“六稳”要求，</w:t>
      </w:r>
      <w:r>
        <w:rPr>
          <w:rFonts w:hint="eastAsia" w:ascii="仿宋_GB2312" w:hAnsi="Times New Roman" w:cs="Times New Roman"/>
          <w:snapToGrid w:val="0"/>
          <w:kern w:val="0"/>
        </w:rPr>
        <w:t>实施优化营商环境专项行动，</w:t>
      </w:r>
      <w:r>
        <w:rPr>
          <w:rFonts w:hint="eastAsia" w:ascii="仿宋_GB2312" w:hAnsi="Times New Roman" w:cs="Times New Roman"/>
          <w:snapToGrid w:val="0"/>
          <w:kern w:val="0"/>
          <w:lang w:val="zh-CN"/>
        </w:rPr>
        <w:t>推动经济平稳健康发展。加大民营企业扶持力度，出台“民营经济</w:t>
      </w:r>
      <w:r>
        <w:rPr>
          <w:rFonts w:hint="eastAsia" w:ascii="仿宋_GB2312" w:hAnsi="Times New Roman" w:cs="Times New Roman"/>
          <w:snapToGrid w:val="0"/>
          <w:kern w:val="0"/>
        </w:rPr>
        <w:t>20条</w:t>
      </w:r>
      <w:r>
        <w:rPr>
          <w:rFonts w:hint="eastAsia" w:ascii="仿宋_GB2312" w:hAnsi="Times New Roman" w:cs="Times New Roman"/>
          <w:snapToGrid w:val="0"/>
          <w:kern w:val="0"/>
          <w:lang w:val="zh-CN"/>
        </w:rPr>
        <w:t>”、科技企业助贷金等政策，兑现扶持资金</w:t>
      </w:r>
      <w:r>
        <w:rPr>
          <w:rFonts w:hint="eastAsia" w:ascii="仿宋_GB2312" w:hAnsi="Times New Roman" w:cs="Times New Roman"/>
          <w:snapToGrid w:val="0"/>
          <w:kern w:val="0"/>
        </w:rPr>
        <w:t>5.2</w:t>
      </w:r>
      <w:r>
        <w:rPr>
          <w:rFonts w:hint="eastAsia" w:ascii="仿宋_GB2312" w:hAnsi="Times New Roman" w:cs="Times New Roman"/>
          <w:snapToGrid w:val="0"/>
          <w:kern w:val="0"/>
          <w:lang w:val="zh-CN"/>
        </w:rPr>
        <w:t>亿元，减税降费</w:t>
      </w:r>
      <w:r>
        <w:rPr>
          <w:rFonts w:hint="eastAsia" w:ascii="仿宋_GB2312" w:hAnsi="Times New Roman" w:cs="Times New Roman"/>
          <w:snapToGrid w:val="0"/>
          <w:kern w:val="0"/>
        </w:rPr>
        <w:t>30.7</w:t>
      </w:r>
      <w:r>
        <w:rPr>
          <w:rFonts w:hint="eastAsia" w:ascii="仿宋_GB2312" w:hAnsi="Times New Roman" w:cs="Times New Roman"/>
          <w:snapToGrid w:val="0"/>
          <w:kern w:val="0"/>
          <w:lang w:val="zh-CN"/>
        </w:rPr>
        <w:t>亿元，助推企业融资</w:t>
      </w:r>
      <w:r>
        <w:rPr>
          <w:rFonts w:hint="eastAsia" w:ascii="仿宋_GB2312" w:hAnsi="Times New Roman" w:cs="Times New Roman"/>
          <w:snapToGrid w:val="0"/>
          <w:kern w:val="0"/>
        </w:rPr>
        <w:t>21.8亿元，</w:t>
      </w:r>
      <w:r>
        <w:rPr>
          <w:rFonts w:hint="eastAsia" w:ascii="仿宋_GB2312" w:hAnsi="Times New Roman" w:cs="Times New Roman"/>
          <w:snapToGrid w:val="0"/>
          <w:kern w:val="0"/>
          <w:lang w:val="zh-CN"/>
        </w:rPr>
        <w:t>筹建蓝领公寓1902套，</w:t>
      </w:r>
      <w:r>
        <w:rPr>
          <w:rFonts w:hint="eastAsia" w:ascii="仿宋_GB2312" w:hAnsi="Times New Roman" w:cs="Times New Roman"/>
          <w:snapToGrid w:val="0"/>
          <w:kern w:val="0"/>
        </w:rPr>
        <w:t>新增“大树”</w:t>
      </w:r>
      <w:r>
        <w:rPr>
          <w:rFonts w:hint="eastAsia" w:ascii="仿宋_GB2312" w:hAnsi="Times New Roman" w:cs="Times New Roman"/>
          <w:lang w:val="zh-CN"/>
        </w:rPr>
        <w:t>“</w:t>
      </w:r>
      <w:r>
        <w:rPr>
          <w:rFonts w:hint="eastAsia" w:ascii="仿宋_GB2312" w:hAnsi="Times New Roman" w:cs="Times New Roman"/>
          <w:snapToGrid w:val="0"/>
          <w:kern w:val="0"/>
        </w:rPr>
        <w:t>小巨人</w:t>
      </w:r>
      <w:r>
        <w:rPr>
          <w:rFonts w:hint="eastAsia" w:ascii="仿宋_GB2312" w:hAnsi="Times New Roman" w:cs="Times New Roman"/>
          <w:lang w:val="zh-CN"/>
        </w:rPr>
        <w:t>”企业</w:t>
      </w:r>
      <w:r>
        <w:rPr>
          <w:rFonts w:hint="eastAsia" w:ascii="仿宋_GB2312" w:hAnsi="Times New Roman" w:cs="Times New Roman"/>
        </w:rPr>
        <w:t>29</w:t>
      </w:r>
      <w:r>
        <w:rPr>
          <w:rFonts w:hint="eastAsia" w:ascii="仿宋_GB2312" w:hAnsi="Times New Roman" w:cs="Times New Roman"/>
          <w:lang w:val="zh-CN"/>
        </w:rPr>
        <w:t>家</w:t>
      </w:r>
      <w:r>
        <w:rPr>
          <w:rFonts w:hint="eastAsia" w:ascii="仿宋_GB2312" w:hAnsi="Times New Roman" w:cs="Times New Roman"/>
          <w:snapToGrid w:val="0"/>
          <w:kern w:val="0"/>
        </w:rPr>
        <w:t>，</w:t>
      </w:r>
      <w:r>
        <w:rPr>
          <w:rFonts w:hint="eastAsia" w:ascii="仿宋_GB2312" w:hAnsi="Times New Roman" w:cs="Times New Roman"/>
          <w:snapToGrid w:val="0"/>
          <w:kern w:val="0"/>
          <w:lang w:val="zh-CN"/>
        </w:rPr>
        <w:t>锦江、海外海、建华集团荣登中国民企500强，德信地产港交所上市。全市率先实施个体工商户简易登记改革，实现社保缴费“一站式”服务、</w:t>
      </w:r>
      <w:r>
        <w:rPr>
          <w:rFonts w:hint="eastAsia" w:ascii="仿宋_GB2312" w:hAnsi="Times New Roman" w:cs="Times New Roman"/>
        </w:rPr>
        <w:t>企业开办1日办结、</w:t>
      </w:r>
      <w:r>
        <w:rPr>
          <w:rFonts w:hint="eastAsia" w:ascii="仿宋_GB2312" w:hAnsi="Times New Roman" w:cs="Times New Roman"/>
          <w:snapToGrid w:val="0"/>
          <w:kern w:val="0"/>
          <w:lang w:val="zh-CN"/>
        </w:rPr>
        <w:t>一般企业投资项目开工前审批“最多</w:t>
      </w:r>
      <w:r>
        <w:rPr>
          <w:rFonts w:hint="eastAsia" w:ascii="仿宋_GB2312" w:hAnsi="Times New Roman" w:cs="Times New Roman"/>
          <w:snapToGrid w:val="0"/>
          <w:kern w:val="0"/>
        </w:rPr>
        <w:t>60天</w:t>
      </w:r>
      <w:r>
        <w:rPr>
          <w:rFonts w:hint="eastAsia" w:ascii="仿宋_GB2312" w:hAnsi="Times New Roman" w:cs="Times New Roman"/>
          <w:snapToGrid w:val="0"/>
          <w:kern w:val="0"/>
          <w:lang w:val="zh-CN"/>
        </w:rPr>
        <w:t>”，</w:t>
      </w:r>
      <w:r>
        <w:rPr>
          <w:rFonts w:hint="eastAsia" w:ascii="仿宋_GB2312" w:hAnsi="Times New Roman" w:cs="Times New Roman"/>
          <w:snapToGrid w:val="0"/>
          <w:kern w:val="0"/>
        </w:rPr>
        <w:t>营商环境在7月、12月第三方评估中分列全市、全省榜首。</w:t>
      </w:r>
      <w:r>
        <w:rPr>
          <w:rFonts w:hint="eastAsia" w:ascii="仿宋_GB2312" w:hAnsi="Times New Roman" w:cs="Times New Roman"/>
          <w:snapToGrid w:val="0"/>
          <w:kern w:val="0"/>
          <w:lang w:val="zh-CN"/>
        </w:rPr>
        <w:t>发挥投资拉动作用，全力推进151个产业项目建设，杭钢云计算数据中心、360产业园、万科汽车互联网产业园三期等一批产业支撑项目顺利开工，顺丰全球创新中心等重点产业项目实现竣工，预计实现固定资产投资超</w:t>
      </w:r>
      <w:r>
        <w:rPr>
          <w:rFonts w:hint="eastAsia" w:ascii="仿宋_GB2312" w:hAnsi="Times New Roman" w:cs="Times New Roman"/>
          <w:snapToGrid w:val="0"/>
          <w:kern w:val="0"/>
        </w:rPr>
        <w:t>480亿元，增长20%以上</w:t>
      </w:r>
      <w:r>
        <w:rPr>
          <w:rFonts w:hint="eastAsia" w:ascii="仿宋_GB2312" w:hAnsi="Times New Roman" w:cs="Times New Roman"/>
          <w:lang w:val="zh-CN"/>
        </w:rPr>
        <w:t>，</w:t>
      </w:r>
      <w:r>
        <w:rPr>
          <w:rFonts w:hint="eastAsia" w:ascii="仿宋_GB2312" w:hAnsi="Times New Roman" w:cs="Times New Roman"/>
          <w:snapToGrid w:val="0"/>
          <w:kern w:val="0"/>
          <w:lang w:val="zh-CN"/>
        </w:rPr>
        <w:t>地区生产总值增长8%左右。实现地方一般公共预算收入91.2亿元，增长8</w:t>
      </w:r>
      <w:r>
        <w:rPr>
          <w:rFonts w:hint="eastAsia" w:ascii="仿宋_GB2312" w:hAnsi="Times New Roman" w:cs="Times New Roman"/>
          <w:snapToGrid w:val="0"/>
          <w:kern w:val="0"/>
        </w:rPr>
        <w:t>.1</w:t>
      </w:r>
      <w:r>
        <w:rPr>
          <w:rFonts w:hint="eastAsia" w:ascii="仿宋_GB2312" w:hAnsi="Times New Roman" w:cs="Times New Roman"/>
          <w:snapToGrid w:val="0"/>
          <w:kern w:val="0"/>
          <w:lang w:val="zh-CN"/>
        </w:rPr>
        <w:t>%。</w:t>
      </w:r>
    </w:p>
    <w:p>
      <w:pPr>
        <w:adjustRightInd w:val="0"/>
        <w:snapToGrid w:val="0"/>
        <w:ind w:firstLine="643" w:firstLineChars="200"/>
        <w:rPr>
          <w:rFonts w:ascii="仿宋_GB2312" w:hAnsi="Times New Roman" w:cs="Times New Roman"/>
          <w:snapToGrid w:val="0"/>
          <w:kern w:val="0"/>
          <w:lang w:val="zh-CN"/>
        </w:rPr>
      </w:pPr>
      <w:r>
        <w:rPr>
          <w:rFonts w:hint="eastAsia" w:ascii="Times New Roman" w:hAnsi="Times New Roman" w:eastAsia="楷体_GB2312" w:cs="Times New Roman"/>
          <w:b/>
          <w:bCs/>
          <w:snapToGrid w:val="0"/>
          <w:kern w:val="0"/>
        </w:rPr>
        <w:t>（二）注重抓平台促创新，产业转型注入新动能。</w:t>
      </w:r>
      <w:r>
        <w:rPr>
          <w:rFonts w:hint="eastAsia" w:ascii="仿宋_GB2312" w:hAnsi="Times New Roman" w:cs="Times New Roman"/>
          <w:lang w:val="zh-CN"/>
        </w:rPr>
        <w:t>坚持以产业平台为主战场，大力发展数字经济，通过双招双引、</w:t>
      </w:r>
      <w:r>
        <w:rPr>
          <w:rFonts w:hint="eastAsia" w:ascii="仿宋_GB2312" w:hAnsi="Times New Roman" w:cs="Times New Roman"/>
          <w:snapToGrid w:val="0"/>
          <w:kern w:val="0"/>
          <w:lang w:val="zh-CN"/>
        </w:rPr>
        <w:t>创新赋能</w:t>
      </w:r>
      <w:r>
        <w:rPr>
          <w:rFonts w:hint="eastAsia" w:ascii="仿宋_GB2312" w:hAnsi="Times New Roman" w:cs="Times New Roman"/>
          <w:lang w:val="zh-CN"/>
        </w:rPr>
        <w:t>，加速推动产业</w:t>
      </w:r>
      <w:r>
        <w:rPr>
          <w:rFonts w:hint="eastAsia" w:ascii="仿宋_GB2312" w:hAnsi="Times New Roman" w:cs="Times New Roman"/>
          <w:snapToGrid w:val="0"/>
          <w:kern w:val="0"/>
          <w:lang w:val="zh-CN"/>
        </w:rPr>
        <w:t>转型升级。</w:t>
      </w:r>
      <w:r>
        <w:rPr>
          <w:rFonts w:hint="eastAsia" w:ascii="仿宋_GB2312" w:hAnsi="Times New Roman" w:cs="Times New Roman"/>
          <w:bCs/>
          <w:snapToGrid w:val="0"/>
          <w:kern w:val="0"/>
          <w:lang w:val="zh-CN"/>
        </w:rPr>
        <w:t>以智慧网谷小镇为“头雁”，持续推进重大产业引擎性项目建设，</w:t>
      </w:r>
      <w:r>
        <w:rPr>
          <w:rFonts w:hint="eastAsia" w:ascii="仿宋_GB2312" w:hAnsi="Times New Roman" w:cs="Times New Roman"/>
          <w:lang w:val="zh-CN"/>
        </w:rPr>
        <w:t>被人民日报誉为东部地区优化发展样本。</w:t>
      </w:r>
      <w:r>
        <w:rPr>
          <w:rFonts w:hint="eastAsia" w:ascii="仿宋_GB2312" w:hAnsi="Times New Roman" w:cs="Times New Roman"/>
          <w:bCs/>
          <w:snapToGrid w:val="0"/>
          <w:kern w:val="0"/>
          <w:lang w:val="zh-CN"/>
        </w:rPr>
        <w:t>汽车互联网产业创新服务综合体入选省级创建名单，</w:t>
      </w:r>
      <w:r>
        <w:rPr>
          <w:rFonts w:hint="eastAsia" w:ascii="仿宋_GB2312" w:hAnsi="Times New Roman" w:cs="Times New Roman"/>
          <w:lang w:val="zh-CN"/>
        </w:rPr>
        <w:t>汽车互联网产业园被评为国家级科技孵化器。上塘电商小</w:t>
      </w:r>
      <w:r>
        <w:rPr>
          <w:rFonts w:hint="eastAsia" w:ascii="仿宋_GB2312" w:hAnsi="Times New Roman" w:cs="Times New Roman"/>
          <w:bCs/>
          <w:snapToGrid w:val="0"/>
          <w:kern w:val="0"/>
          <w:lang w:val="zh-CN"/>
        </w:rPr>
        <w:t>镇获评浙江省数字化示范园区。</w:t>
      </w:r>
      <w:r>
        <w:rPr>
          <w:rFonts w:hint="eastAsia" w:ascii="仿宋_GB2312" w:hAnsi="Times New Roman" w:cs="Times New Roman"/>
          <w:bCs/>
          <w:lang w:val="zh-CN"/>
        </w:rPr>
        <w:t>实施招商引智专项行动，推进</w:t>
      </w:r>
      <w:r>
        <w:rPr>
          <w:rFonts w:hint="eastAsia" w:ascii="仿宋_GB2312" w:hAnsi="Times New Roman" w:cs="Times New Roman"/>
          <w:bCs/>
          <w:snapToGrid w:val="0"/>
          <w:kern w:val="0"/>
          <w:lang w:val="zh-CN"/>
        </w:rPr>
        <w:t>“全区一盘棋”</w:t>
      </w:r>
      <w:r>
        <w:rPr>
          <w:rFonts w:hint="eastAsia" w:ascii="仿宋_GB2312" w:hAnsi="Times New Roman" w:cs="Times New Roman"/>
          <w:bCs/>
          <w:lang w:val="zh-CN"/>
        </w:rPr>
        <w:t>招商体制改革，引进省市县长项目3个、产业链项目</w:t>
      </w:r>
      <w:r>
        <w:rPr>
          <w:rFonts w:hint="eastAsia" w:ascii="仿宋_GB2312" w:hAnsi="Times New Roman" w:cs="Times New Roman"/>
          <w:bCs/>
        </w:rPr>
        <w:t>29</w:t>
      </w:r>
      <w:r>
        <w:rPr>
          <w:rFonts w:hint="eastAsia" w:ascii="仿宋_GB2312" w:hAnsi="Times New Roman" w:cs="Times New Roman"/>
          <w:bCs/>
          <w:lang w:val="zh-CN"/>
        </w:rPr>
        <w:t>个、亿元项</w:t>
      </w:r>
      <w:r>
        <w:rPr>
          <w:rFonts w:hint="eastAsia" w:ascii="仿宋_GB2312" w:hAnsi="Times New Roman" w:cs="Times New Roman"/>
          <w:bCs/>
          <w:snapToGrid w:val="0"/>
          <w:kern w:val="0"/>
          <w:lang w:val="zh-CN"/>
        </w:rPr>
        <w:t>目</w:t>
      </w:r>
      <w:r>
        <w:rPr>
          <w:rFonts w:hint="eastAsia" w:ascii="仿宋_GB2312" w:hAnsi="Times New Roman" w:cs="Times New Roman"/>
          <w:bCs/>
          <w:snapToGrid w:val="0"/>
          <w:kern w:val="0"/>
        </w:rPr>
        <w:t>63</w:t>
      </w:r>
      <w:r>
        <w:rPr>
          <w:rFonts w:hint="eastAsia" w:ascii="仿宋_GB2312" w:hAnsi="Times New Roman" w:cs="Times New Roman"/>
          <w:bCs/>
          <w:snapToGrid w:val="0"/>
          <w:kern w:val="0"/>
          <w:lang w:val="zh-CN"/>
        </w:rPr>
        <w:t>个，落地中科院计算所数字经济产业研究院、浙数文化、丰驰网络、蓝疆创新</w:t>
      </w:r>
      <w:r>
        <w:rPr>
          <w:rFonts w:hint="eastAsia" w:ascii="仿宋_GB2312" w:hAnsi="Times New Roman" w:cs="Times New Roman"/>
          <w:bCs/>
          <w:lang w:val="zh-CN"/>
        </w:rPr>
        <w:t>等一批优质产业项目</w:t>
      </w:r>
      <w:r>
        <w:rPr>
          <w:rFonts w:hint="eastAsia" w:ascii="仿宋_GB2312" w:hAnsi="Times New Roman" w:cs="Times New Roman"/>
          <w:bCs/>
          <w:snapToGrid w:val="0"/>
          <w:kern w:val="0"/>
          <w:lang w:val="zh-CN"/>
        </w:rPr>
        <w:t>，引进国际脑科学转化中心、中德生物经济产业园、新加坡南</w:t>
      </w:r>
      <w:r>
        <w:rPr>
          <w:rFonts w:hint="eastAsia" w:ascii="仿宋_GB2312" w:hAnsi="Times New Roman" w:cs="Times New Roman"/>
          <w:bCs/>
          <w:lang w:val="zh-CN"/>
        </w:rPr>
        <w:t>洋理工大学科创中心等一批高端人才项目，引育外籍院士</w:t>
      </w:r>
      <w:r>
        <w:rPr>
          <w:rFonts w:hint="eastAsia" w:ascii="仿宋_GB2312" w:hAnsi="Times New Roman" w:cs="Times New Roman"/>
          <w:bCs/>
        </w:rPr>
        <w:t>3</w:t>
      </w:r>
      <w:r>
        <w:rPr>
          <w:rFonts w:hint="eastAsia" w:ascii="仿宋_GB2312" w:hAnsi="Times New Roman" w:cs="Times New Roman"/>
          <w:bCs/>
          <w:lang w:val="zh-CN"/>
        </w:rPr>
        <w:t>名。坚持以创新驱动增强企业竞争力，中美华东成为国家知</w:t>
      </w:r>
      <w:r>
        <w:rPr>
          <w:rFonts w:hint="eastAsia" w:ascii="仿宋_GB2312" w:hAnsi="Times New Roman" w:cs="Times New Roman"/>
          <w:bCs/>
          <w:snapToGrid w:val="0"/>
          <w:kern w:val="0"/>
          <w:lang w:val="zh-CN"/>
        </w:rPr>
        <w:t>识产权示范企业，全社会R&amp;D经费支出增幅居城区第一。预计规上工业、高新技术产业增加值增幅</w:t>
      </w:r>
      <w:r>
        <w:rPr>
          <w:rFonts w:hint="eastAsia" w:ascii="仿宋_GB2312" w:hAnsi="Times New Roman" w:cs="Times New Roman"/>
          <w:bCs/>
          <w:snapToGrid w:val="0"/>
          <w:kern w:val="0"/>
        </w:rPr>
        <w:t>均居全市第一</w:t>
      </w:r>
      <w:r>
        <w:rPr>
          <w:rFonts w:hint="eastAsia" w:ascii="仿宋_GB2312" w:hAnsi="Times New Roman" w:cs="Times New Roman"/>
          <w:bCs/>
          <w:snapToGrid w:val="0"/>
          <w:kern w:val="0"/>
          <w:lang w:val="zh-CN"/>
        </w:rPr>
        <w:t>，</w:t>
      </w:r>
      <w:r>
        <w:rPr>
          <w:rFonts w:hint="eastAsia" w:ascii="仿宋_GB2312" w:hAnsi="Times New Roman" w:cs="Times New Roman"/>
          <w:bCs/>
          <w:snapToGrid w:val="0"/>
          <w:kern w:val="0"/>
        </w:rPr>
        <w:t>前三季度高质量发展过程性指标位列全市第二</w:t>
      </w:r>
      <w:r>
        <w:rPr>
          <w:rFonts w:hint="eastAsia" w:ascii="仿宋_GB2312" w:hAnsi="Times New Roman" w:cs="Times New Roman"/>
          <w:bCs/>
          <w:snapToGrid w:val="0"/>
          <w:kern w:val="0"/>
          <w:lang w:val="zh-CN"/>
        </w:rPr>
        <w:t>。</w:t>
      </w:r>
    </w:p>
    <w:p>
      <w:pPr>
        <w:adjustRightInd w:val="0"/>
        <w:snapToGrid w:val="0"/>
        <w:ind w:firstLine="643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eastAsia="楷体_GB2312" w:cs="Times New Roman"/>
          <w:b/>
          <w:bCs/>
          <w:snapToGrid w:val="0"/>
          <w:kern w:val="0"/>
        </w:rPr>
        <w:t>（三）奋力决胜全面小康，攻坚补短取得新进展。</w:t>
      </w:r>
      <w:r>
        <w:rPr>
          <w:rFonts w:hint="eastAsia" w:ascii="仿宋_GB2312" w:hAnsi="仿宋_GB2312" w:cs="仿宋_GB2312"/>
          <w:snapToGrid w:val="0"/>
          <w:kern w:val="0"/>
        </w:rPr>
        <w:t>紧盯经济社会发展的短板和薄弱环节，坚决打好“三大攻坚战”，夯实决胜全面小康的基础。</w:t>
      </w:r>
      <w:r>
        <w:rPr>
          <w:rFonts w:hint="eastAsia" w:ascii="仿宋_GB2312" w:hAnsi="Times New Roman" w:cs="Times New Roman"/>
          <w:snapToGrid w:val="0"/>
          <w:kern w:val="0"/>
          <w:lang w:val="zh-CN"/>
        </w:rPr>
        <w:t>全力防范和化解涉众型金融风险，实现全域网贷机构清零，存量机构、借贷余额、出借人数下降率均居主城区第一。中央和省级环保督察问题整改得到全面落实，</w:t>
      </w:r>
      <w:r>
        <w:rPr>
          <w:rFonts w:hint="eastAsia" w:ascii="仿宋_GB2312" w:hAnsi="Times New Roman" w:cs="Times New Roman"/>
          <w:snapToGrid w:val="0"/>
          <w:kern w:val="0"/>
        </w:rPr>
        <w:t>PM</w:t>
      </w:r>
      <w:r>
        <w:rPr>
          <w:rFonts w:hint="eastAsia" w:ascii="仿宋_GB2312" w:hAnsi="Times New Roman" w:cs="Times New Roman"/>
          <w:snapToGrid w:val="0"/>
          <w:kern w:val="0"/>
          <w:vertAlign w:val="subscript"/>
        </w:rPr>
        <w:t>2.5</w:t>
      </w:r>
      <w:r>
        <w:rPr>
          <w:rFonts w:hint="eastAsia" w:ascii="仿宋_GB2312" w:hAnsi="仿宋_GB2312" w:cs="仿宋_GB2312"/>
          <w:lang w:val="zh-CN"/>
        </w:rPr>
        <w:t>平均浓</w:t>
      </w:r>
      <w:r>
        <w:rPr>
          <w:rFonts w:hint="eastAsia" w:ascii="仿宋_GB2312" w:hAnsi="Times New Roman" w:cs="Times New Roman"/>
          <w:snapToGrid w:val="0"/>
          <w:kern w:val="0"/>
          <w:lang w:val="zh-CN"/>
        </w:rPr>
        <w:t>度降幅、空气优良率均居主城区前列，塘河片区获评省级“美丽河湖”</w:t>
      </w:r>
      <w:r>
        <w:rPr>
          <w:rFonts w:hint="eastAsia" w:ascii="仿宋_GB2312" w:hAnsi="仿宋_GB2312" w:cs="仿宋_GB2312"/>
          <w:lang w:val="zh-CN"/>
        </w:rPr>
        <w:t>，“五水共治”再夺“大禹鼎”，</w:t>
      </w:r>
      <w:r>
        <w:rPr>
          <w:rFonts w:hint="eastAsia" w:ascii="仿宋_GB2312" w:hAnsi="Times New Roman" w:cs="Times New Roman"/>
          <w:lang w:val="zh-CN"/>
        </w:rPr>
        <w:t>生活垃圾定点、定时投放全面铺开。</w:t>
      </w:r>
      <w:r>
        <w:rPr>
          <w:rFonts w:hint="eastAsia" w:ascii="仿宋_GB2312" w:hAnsi="Times New Roman" w:cs="Times New Roman"/>
          <w:snapToGrid w:val="0"/>
          <w:kern w:val="0"/>
        </w:rPr>
        <w:t>扎实做好</w:t>
      </w:r>
      <w:r>
        <w:rPr>
          <w:rFonts w:hint="eastAsia" w:ascii="仿宋_GB2312" w:hAnsi="Times New Roman" w:cs="Times New Roman"/>
          <w:snapToGrid w:val="0"/>
          <w:kern w:val="0"/>
          <w:lang w:val="zh-CN"/>
        </w:rPr>
        <w:t>东西部扶贫协作、山海协作、区县协作等工作，</w:t>
      </w:r>
      <w:r>
        <w:rPr>
          <w:rFonts w:hint="eastAsia" w:ascii="仿宋_GB2312" w:hAnsi="Times New Roman" w:cs="Times New Roman"/>
          <w:lang w:val="zh-CN"/>
        </w:rPr>
        <w:t>助推湖北来凤、贵州黄平实现脱贫。</w:t>
      </w:r>
      <w:r>
        <w:rPr>
          <w:rFonts w:hint="eastAsia" w:ascii="仿宋_GB2312" w:hAnsi="Times New Roman" w:cs="Times New Roman"/>
        </w:rPr>
        <w:t>破除环境功能性制约，大城北环境综合整治350个项目顺利完成，僵持15年的中石化小河油库顺利拆除，杭州粮油市场、港航公司、元通汽车等企业征迁清零，半山电厂综合提升改造工程顺利开工，拱康路渣土专用道基本建成，20万平方米康桥花海如期开放，杭钢和半山地区生态转型成效获韩正副总理、车俊书记肯定。</w:t>
      </w:r>
    </w:p>
    <w:p>
      <w:pPr>
        <w:adjustRightInd w:val="0"/>
        <w:snapToGrid w:val="0"/>
        <w:ind w:firstLine="643" w:firstLineChars="200"/>
        <w:rPr>
          <w:rFonts w:ascii="Times New Roman" w:hAnsi="Times New Roman" w:cs="Times New Roman"/>
          <w:snapToGrid w:val="0"/>
          <w:kern w:val="0"/>
        </w:rPr>
      </w:pPr>
      <w:r>
        <w:rPr>
          <w:rFonts w:hint="eastAsia" w:ascii="Times New Roman" w:hAnsi="Times New Roman" w:eastAsia="楷体_GB2312" w:cs="Times New Roman"/>
          <w:b/>
          <w:bCs/>
          <w:snapToGrid w:val="0"/>
          <w:kern w:val="0"/>
        </w:rPr>
        <w:t>（四）推动北建战略落地，城区面貌展露新形象。</w:t>
      </w:r>
      <w:r>
        <w:rPr>
          <w:rFonts w:hint="eastAsia" w:ascii="仿宋_GB2312" w:hAnsi="Times New Roman" w:cs="Times New Roman"/>
        </w:rPr>
        <w:t>坚持规划引领、项目带动、管理提升，持续推动城市有机更新。完成国土空间总规等14项规划研究，</w:t>
      </w:r>
      <w:r>
        <w:rPr>
          <w:rFonts w:hint="eastAsia" w:ascii="仿宋_GB2312" w:hAnsi="Times New Roman" w:cs="Times New Roman"/>
          <w:snapToGrid w:val="0"/>
          <w:kern w:val="0"/>
          <w:lang w:val="zh-CN"/>
        </w:rPr>
        <w:t>全面启动留用地开发建设攻坚三年行动，盘活利用批而未供、供而未用、低效用地</w:t>
      </w:r>
      <w:r>
        <w:rPr>
          <w:rFonts w:hint="eastAsia" w:ascii="仿宋_GB2312" w:hAnsi="Times New Roman" w:cs="Times New Roman"/>
          <w:snapToGrid w:val="0"/>
          <w:kern w:val="0"/>
        </w:rPr>
        <w:t>5351</w:t>
      </w:r>
      <w:r>
        <w:rPr>
          <w:rFonts w:hint="eastAsia" w:ascii="仿宋_GB2312" w:hAnsi="Times New Roman" w:cs="Times New Roman"/>
          <w:snapToGrid w:val="0"/>
          <w:kern w:val="0"/>
          <w:lang w:val="zh-CN"/>
        </w:rPr>
        <w:t>亩，</w:t>
      </w:r>
      <w:r>
        <w:rPr>
          <w:rFonts w:hint="eastAsia" w:ascii="仿宋_GB2312" w:hAnsi="Times New Roman" w:cs="Times New Roman"/>
        </w:rPr>
        <w:t>收储经营性</w:t>
      </w:r>
      <w:r>
        <w:rPr>
          <w:rFonts w:hint="eastAsia" w:ascii="仿宋_GB2312" w:hAnsi="Times New Roman" w:cs="Times New Roman"/>
          <w:lang w:val="zh-CN"/>
        </w:rPr>
        <w:t>用地</w:t>
      </w:r>
      <w:r>
        <w:rPr>
          <w:rFonts w:hint="eastAsia" w:ascii="仿宋_GB2312" w:hAnsi="Times New Roman" w:cs="Times New Roman"/>
        </w:rPr>
        <w:t>687</w:t>
      </w:r>
      <w:r>
        <w:rPr>
          <w:rFonts w:hint="eastAsia" w:ascii="仿宋_GB2312" w:hAnsi="Times New Roman" w:cs="Times New Roman"/>
          <w:lang w:val="zh-CN"/>
        </w:rPr>
        <w:t>亩、出让用地</w:t>
      </w:r>
      <w:r>
        <w:rPr>
          <w:rFonts w:hint="eastAsia" w:ascii="仿宋_GB2312" w:hAnsi="Times New Roman" w:cs="Times New Roman"/>
        </w:rPr>
        <w:t>644亩</w:t>
      </w:r>
      <w:r>
        <w:rPr>
          <w:rFonts w:hint="eastAsia" w:ascii="仿宋_GB2312" w:hAnsi="Times New Roman" w:cs="Times New Roman"/>
          <w:snapToGrid w:val="0"/>
          <w:kern w:val="0"/>
        </w:rPr>
        <w:t>。</w:t>
      </w:r>
      <w:r>
        <w:rPr>
          <w:rFonts w:hint="eastAsia" w:ascii="仿宋_GB2312" w:hAnsi="Times New Roman" w:cs="Times New Roman"/>
          <w:lang w:val="zh-CN"/>
        </w:rPr>
        <w:t>加快完善交通基础设施</w:t>
      </w:r>
      <w:r>
        <w:rPr>
          <w:rFonts w:hint="eastAsia" w:ascii="仿宋_GB2312" w:hAnsi="Times New Roman" w:cs="Times New Roman"/>
        </w:rPr>
        <w:t>，</w:t>
      </w:r>
      <w:r>
        <w:rPr>
          <w:rFonts w:hint="eastAsia" w:ascii="仿宋_GB2312" w:hAnsi="Times New Roman" w:cs="Times New Roman"/>
          <w:snapToGrid w:val="0"/>
          <w:kern w:val="0"/>
          <w:lang w:val="zh-CN"/>
        </w:rPr>
        <w:t>高标准推进</w:t>
      </w:r>
      <w:r>
        <w:rPr>
          <w:rFonts w:hint="eastAsia" w:ascii="仿宋_GB2312" w:hAnsi="Times New Roman" w:cs="Times New Roman"/>
          <w:lang w:val="zh-CN"/>
        </w:rPr>
        <w:t>香积寺路西延工程等85</w:t>
      </w:r>
      <w:r>
        <w:rPr>
          <w:rFonts w:hint="eastAsia" w:ascii="仿宋_GB2312" w:hAnsi="Times New Roman" w:cs="Times New Roman"/>
        </w:rPr>
        <w:t>条道路和14个地铁站点建设，永宁路、云锦路等一批城市道路正式启用，地铁5号线拱墅段全线通车。</w:t>
      </w:r>
      <w:r>
        <w:rPr>
          <w:rFonts w:hint="eastAsia" w:ascii="仿宋_GB2312" w:hAnsi="Times New Roman" w:cs="Times New Roman"/>
          <w:snapToGrid w:val="0"/>
          <w:kern w:val="0"/>
          <w:lang w:val="zh-CN"/>
        </w:rPr>
        <w:t>新增</w:t>
      </w:r>
      <w:r>
        <w:rPr>
          <w:rFonts w:hint="eastAsia" w:ascii="仿宋_GB2312" w:hAnsi="Times New Roman" w:cs="Times New Roman"/>
        </w:rPr>
        <w:t>公共停车泊位1140个、</w:t>
      </w:r>
      <w:r>
        <w:rPr>
          <w:rFonts w:hint="eastAsia" w:ascii="仿宋_GB2312" w:hAnsi="Times New Roman" w:cs="Times New Roman"/>
          <w:snapToGrid w:val="0"/>
          <w:kern w:val="0"/>
          <w:lang w:val="zh-CN"/>
        </w:rPr>
        <w:t>地下空间60万平方米。推进回迁提速工</w:t>
      </w:r>
      <w:r>
        <w:rPr>
          <w:rFonts w:hint="eastAsia" w:ascii="仿宋_GB2312" w:hAnsi="Times New Roman" w:cs="Times New Roman"/>
          <w:lang w:val="zh-CN"/>
        </w:rPr>
        <w:t>程，</w:t>
      </w:r>
      <w:r>
        <w:rPr>
          <w:rFonts w:hint="eastAsia" w:ascii="仿宋_GB2312" w:hAnsi="Times New Roman" w:cs="Times New Roman"/>
          <w:snapToGrid w:val="0"/>
          <w:kern w:val="0"/>
          <w:lang w:val="zh-CN"/>
        </w:rPr>
        <w:t>剩余安置房全部开工，在建面积达</w:t>
      </w:r>
      <w:r>
        <w:rPr>
          <w:rFonts w:hint="eastAsia" w:ascii="仿宋_GB2312" w:hAnsi="Times New Roman" w:cs="Times New Roman"/>
          <w:snapToGrid w:val="0"/>
          <w:kern w:val="0"/>
        </w:rPr>
        <w:t>328万平方米，</w:t>
      </w:r>
      <w:r>
        <w:rPr>
          <w:rFonts w:hint="eastAsia" w:ascii="仿宋_GB2312" w:hAnsi="Times New Roman" w:cs="Times New Roman"/>
          <w:snapToGrid w:val="0"/>
          <w:kern w:val="0"/>
          <w:lang w:val="zh-CN"/>
        </w:rPr>
        <w:t>交付安置房</w:t>
      </w:r>
      <w:r>
        <w:rPr>
          <w:rFonts w:hint="eastAsia" w:ascii="仿宋_GB2312" w:hAnsi="Times New Roman" w:cs="Times New Roman"/>
          <w:snapToGrid w:val="0"/>
          <w:kern w:val="0"/>
        </w:rPr>
        <w:t>56.6</w:t>
      </w:r>
      <w:r>
        <w:rPr>
          <w:rFonts w:hint="eastAsia" w:ascii="仿宋_GB2312" w:hAnsi="Times New Roman" w:cs="Times New Roman"/>
          <w:snapToGrid w:val="0"/>
          <w:kern w:val="0"/>
          <w:lang w:val="zh-CN"/>
        </w:rPr>
        <w:t>万平方米，回迁安置</w:t>
      </w:r>
      <w:r>
        <w:rPr>
          <w:rFonts w:hint="eastAsia" w:ascii="仿宋_GB2312" w:hAnsi="Times New Roman" w:cs="Times New Roman"/>
          <w:snapToGrid w:val="0"/>
          <w:kern w:val="0"/>
        </w:rPr>
        <w:t>1333</w:t>
      </w:r>
      <w:r>
        <w:rPr>
          <w:rFonts w:hint="eastAsia" w:ascii="仿宋_GB2312" w:hAnsi="Times New Roman" w:cs="Times New Roman"/>
          <w:snapToGrid w:val="0"/>
          <w:kern w:val="0"/>
          <w:lang w:val="zh-CN"/>
        </w:rPr>
        <w:t>户，</w:t>
      </w:r>
      <w:r>
        <w:rPr>
          <w:rFonts w:hint="eastAsia" w:ascii="仿宋_GB2312" w:hAnsi="Times New Roman" w:cs="Times New Roman"/>
        </w:rPr>
        <w:t>瓜山项目入选全省首批未来社区试点。</w:t>
      </w:r>
      <w:r>
        <w:rPr>
          <w:rFonts w:hint="eastAsia" w:ascii="仿宋_GB2312" w:hAnsi="仿宋_GB2312" w:cs="仿宋_GB2312"/>
          <w:lang w:val="zh-CN"/>
        </w:rPr>
        <w:t>建成</w:t>
      </w:r>
      <w:r>
        <w:rPr>
          <w:rFonts w:hint="eastAsia" w:ascii="仿宋_GB2312" w:hAnsi="仿宋_GB2312" w:cs="仿宋_GB2312"/>
          <w:snapToGrid w:val="0"/>
          <w:kern w:val="0"/>
          <w:lang w:val="zh-CN"/>
        </w:rPr>
        <w:t>“污水零直排”生活小区226</w:t>
      </w:r>
      <w:r>
        <w:rPr>
          <w:rFonts w:hint="eastAsia" w:ascii="仿宋_GB2312" w:hAnsi="仿宋_GB2312" w:cs="仿宋_GB2312"/>
          <w:lang w:val="zh-CN"/>
        </w:rPr>
        <w:t>个、沿河</w:t>
      </w:r>
      <w:r>
        <w:rPr>
          <w:rFonts w:hint="eastAsia" w:ascii="仿宋_GB2312" w:hAnsi="仿宋_GB2312" w:cs="仿宋_GB2312"/>
        </w:rPr>
        <w:t>生态廊道22公里，</w:t>
      </w:r>
      <w:r>
        <w:rPr>
          <w:rFonts w:hint="eastAsia" w:ascii="仿宋_GB2312" w:hAnsi="Times New Roman" w:cs="Times New Roman"/>
          <w:snapToGrid w:val="0"/>
          <w:kern w:val="0"/>
          <w:lang w:val="zh-CN"/>
        </w:rPr>
        <w:t>半山国家森林公园完成景区标准化改造。</w:t>
      </w:r>
      <w:r>
        <w:rPr>
          <w:rFonts w:hint="eastAsia" w:ascii="仿宋_GB2312" w:hAnsi="Times New Roman" w:cs="Times New Roman"/>
          <w:lang w:val="zh-CN"/>
        </w:rPr>
        <w:t>成功创建省级“基本无违建区”。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cs="仿宋_GB2312"/>
          <w:snapToGrid w:val="0"/>
          <w:kern w:val="0"/>
        </w:rPr>
      </w:pPr>
      <w:r>
        <w:rPr>
          <w:rFonts w:hint="eastAsia" w:ascii="Times New Roman" w:hAnsi="Times New Roman" w:eastAsia="楷体_GB2312" w:cs="Times New Roman"/>
          <w:b/>
          <w:bCs/>
          <w:snapToGrid w:val="0"/>
          <w:kern w:val="0"/>
        </w:rPr>
        <w:t>（五）集聚优质公共资源，社会事业迈出新步伐</w:t>
      </w:r>
      <w:r>
        <w:rPr>
          <w:rFonts w:hint="eastAsia" w:ascii="Times New Roman" w:hAnsi="Times New Roman" w:cs="Times New Roman"/>
          <w:lang w:val="zh-CN"/>
        </w:rPr>
        <w:t>。</w:t>
      </w:r>
      <w:r>
        <w:rPr>
          <w:rFonts w:hint="eastAsia" w:ascii="仿宋_GB2312" w:hAnsi="Times New Roman" w:cs="Times New Roman"/>
          <w:lang w:val="zh-CN"/>
        </w:rPr>
        <w:t>坚持名区名城标准，繁荣文化、教育、卫生事业，不断提高城区核心竞争力。</w:t>
      </w:r>
      <w:r>
        <w:rPr>
          <w:rFonts w:hint="eastAsia" w:ascii="仿宋_GB2312" w:hAnsi="Times New Roman" w:cs="Times New Roman"/>
        </w:rPr>
        <w:t>高标准实施</w:t>
      </w:r>
      <w:r>
        <w:rPr>
          <w:rFonts w:hint="eastAsia" w:ascii="仿宋_GB2312" w:hAnsi="Times New Roman" w:cs="Times New Roman"/>
          <w:snapToGrid w:val="0"/>
          <w:kern w:val="0"/>
          <w:lang w:val="zh-CN"/>
        </w:rPr>
        <w:t>大运河亚运公园、中央公园和</w:t>
      </w:r>
      <w:r>
        <w:rPr>
          <w:rFonts w:hint="eastAsia" w:ascii="仿宋_GB2312" w:hAnsi="Times New Roman" w:cs="Times New Roman"/>
        </w:rPr>
        <w:t>祥符桥传统风貌街区等文化</w:t>
      </w:r>
      <w:r>
        <w:rPr>
          <w:rFonts w:hint="eastAsia" w:ascii="仿宋_GB2312" w:hAnsi="Times New Roman" w:cs="Times New Roman"/>
          <w:snapToGrid w:val="0"/>
          <w:kern w:val="0"/>
        </w:rPr>
        <w:t>地标</w:t>
      </w:r>
      <w:r>
        <w:rPr>
          <w:rFonts w:hint="eastAsia" w:ascii="仿宋_GB2312" w:hAnsi="Times New Roman" w:cs="Times New Roman"/>
        </w:rPr>
        <w:t>建设，</w:t>
      </w:r>
      <w:r>
        <w:rPr>
          <w:rFonts w:hint="eastAsia" w:ascii="仿宋_GB2312" w:hAnsi="Times New Roman" w:cs="Times New Roman"/>
          <w:snapToGrid w:val="0"/>
          <w:spacing w:val="-2"/>
          <w:kern w:val="0"/>
          <w:lang w:val="zh-CN"/>
        </w:rPr>
        <w:t>显宁寺一期、</w:t>
      </w:r>
      <w:r>
        <w:rPr>
          <w:rFonts w:hint="eastAsia" w:ascii="仿宋_GB2312" w:hAnsi="Times New Roman" w:cs="Times New Roman"/>
          <w:snapToGrid w:val="0"/>
          <w:kern w:val="0"/>
          <w:lang w:val="zh-CN"/>
        </w:rPr>
        <w:t>大运河文化艺术中心、文化时尚发布中心</w:t>
      </w:r>
      <w:r>
        <w:rPr>
          <w:rFonts w:hint="eastAsia" w:ascii="仿宋_GB2312" w:hAnsi="Times New Roman" w:cs="Times New Roman"/>
          <w:snapToGrid w:val="0"/>
          <w:spacing w:val="-2"/>
          <w:kern w:val="0"/>
          <w:lang w:val="zh-CN"/>
        </w:rPr>
        <w:t>等</w:t>
      </w:r>
      <w:r>
        <w:rPr>
          <w:rFonts w:hint="eastAsia" w:ascii="仿宋_GB2312" w:hAnsi="Times New Roman" w:cs="Times New Roman"/>
          <w:snapToGrid w:val="0"/>
          <w:spacing w:val="-2"/>
          <w:kern w:val="0"/>
        </w:rPr>
        <w:t>8个项目精彩亮相，成功举办第十一届中国非遗博览会、</w:t>
      </w:r>
      <w:r>
        <w:rPr>
          <w:rFonts w:hint="eastAsia" w:ascii="仿宋_GB2312" w:hAnsi="Times New Roman" w:cs="Times New Roman"/>
        </w:rPr>
        <w:t>大运河国际钢琴艺术节、戏曲节</w:t>
      </w:r>
      <w:r>
        <w:rPr>
          <w:rFonts w:hint="eastAsia" w:ascii="仿宋_GB2312" w:hAnsi="Times New Roman" w:cs="Times New Roman"/>
          <w:snapToGrid w:val="0"/>
          <w:kern w:val="0"/>
          <w:lang w:val="zh-CN"/>
        </w:rPr>
        <w:t>，大运河文化带建设成效被车俊书记誉为落实“两个维护”的先进典型。精心打造“百姓家门口好学校”</w:t>
      </w:r>
      <w:r>
        <w:rPr>
          <w:rFonts w:hint="eastAsia" w:ascii="仿宋_GB2312" w:hAnsi="Times New Roman" w:cs="Times New Roman"/>
          <w:snapToGrid w:val="0"/>
          <w:kern w:val="0"/>
        </w:rPr>
        <w:t>，</w:t>
      </w:r>
      <w:r>
        <w:rPr>
          <w:rFonts w:hint="eastAsia" w:ascii="仿宋_GB2312" w:hAnsi="Times New Roman" w:cs="Times New Roman"/>
          <w:snapToGrid w:val="0"/>
          <w:kern w:val="0"/>
          <w:lang w:val="zh-CN"/>
        </w:rPr>
        <w:t>推进“双名”计划，投用华师大附校等学校10所，开工10所，引进华君武美术馆和漫画艺术研究院，拱墅职高</w:t>
      </w:r>
      <w:r>
        <w:rPr>
          <w:rFonts w:hint="eastAsia" w:ascii="仿宋_GB2312" w:hAnsi="Times New Roman" w:cs="Times New Roman"/>
          <w:snapToGrid w:val="0"/>
          <w:kern w:val="0"/>
        </w:rPr>
        <w:t>石丹教师勇夺第45届世界技能大赛金牌，</w:t>
      </w:r>
      <w:r>
        <w:rPr>
          <w:rFonts w:hint="eastAsia" w:ascii="仿宋_GB2312" w:hAnsi="Times New Roman" w:cs="Times New Roman"/>
          <w:snapToGrid w:val="0"/>
          <w:kern w:val="0"/>
          <w:lang w:val="zh-CN"/>
        </w:rPr>
        <w:t>学前教育补短工程获省政府表彰</w:t>
      </w:r>
      <w:r>
        <w:rPr>
          <w:rFonts w:hint="eastAsia" w:ascii="仿宋_GB2312" w:hAnsi="Times New Roman" w:cs="Times New Roman"/>
          <w:snapToGrid w:val="0"/>
          <w:kern w:val="0"/>
        </w:rPr>
        <w:t>。</w:t>
      </w:r>
      <w:r>
        <w:rPr>
          <w:rFonts w:hint="eastAsia" w:ascii="仿宋_GB2312" w:hAnsi="Times New Roman" w:cs="Times New Roman"/>
          <w:snapToGrid w:val="0"/>
          <w:kern w:val="0"/>
          <w:lang w:val="zh-CN"/>
        </w:rPr>
        <w:t>开工邵逸夫医院大运河分院，投用城北健康中心，建成</w:t>
      </w:r>
      <w:r>
        <w:rPr>
          <w:rFonts w:hint="eastAsia" w:ascii="仿宋_GB2312" w:hAnsi="Times New Roman" w:cs="Times New Roman"/>
          <w:snapToGrid w:val="0"/>
          <w:kern w:val="0"/>
        </w:rPr>
        <w:t>区妇幼计生中心、区中西医结合医院、小河湖墅中心，</w:t>
      </w:r>
      <w:r>
        <w:rPr>
          <w:rFonts w:hint="eastAsia" w:ascii="仿宋_GB2312" w:hAnsi="Times New Roman" w:cs="Times New Roman"/>
          <w:snapToGrid w:val="0"/>
          <w:kern w:val="0"/>
          <w:lang w:val="zh-CN"/>
        </w:rPr>
        <w:t>全国率先实现财政医疗收费票据电</w:t>
      </w:r>
      <w:r>
        <w:rPr>
          <w:rFonts w:hint="eastAsia" w:ascii="仿宋_GB2312" w:hAnsi="Times New Roman" w:cs="Times New Roman"/>
          <w:snapToGrid w:val="0"/>
          <w:kern w:val="0"/>
        </w:rPr>
        <w:t>子化率100%，</w:t>
      </w:r>
      <w:r>
        <w:rPr>
          <w:rFonts w:hint="eastAsia" w:ascii="仿宋_GB2312" w:hAnsi="Times New Roman" w:cs="仿宋_GB2312"/>
          <w:snapToGrid w:val="0"/>
          <w:kern w:val="0"/>
          <w:lang w:val="zh-CN"/>
        </w:rPr>
        <w:t>健康浙江考核位列全市第一</w:t>
      </w:r>
      <w:r>
        <w:rPr>
          <w:rFonts w:hint="eastAsia" w:ascii="仿宋_GB2312" w:hAnsi="Times New Roman" w:cs="仿宋_GB2312"/>
          <w:snapToGrid w:val="0"/>
          <w:kern w:val="0"/>
        </w:rPr>
        <w:t>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cs="Times New Roman"/>
          <w:snapToGrid w:val="0"/>
          <w:kern w:val="0"/>
          <w:lang w:val="zh-CN"/>
        </w:rPr>
      </w:pPr>
      <w:r>
        <w:rPr>
          <w:rFonts w:hint="eastAsia" w:ascii="Times New Roman" w:hAnsi="Times New Roman" w:eastAsia="楷体_GB2312" w:cs="Times New Roman"/>
          <w:b/>
          <w:bCs/>
          <w:snapToGrid w:val="0"/>
          <w:kern w:val="0"/>
        </w:rPr>
        <w:t>（六）回应美好生活向往，民生福祉实现新提升。</w:t>
      </w:r>
      <w:r>
        <w:rPr>
          <w:rFonts w:hint="eastAsia" w:ascii="仿宋_GB2312" w:hAnsi="Times New Roman" w:cs="Times New Roman"/>
          <w:snapToGrid w:val="0"/>
          <w:kern w:val="0"/>
        </w:rPr>
        <w:t>努力在发展中改善民生，聚焦住房、养老、就业等民生关切，不断提高群众生活品质。收官前一轮老旧</w:t>
      </w:r>
      <w:r>
        <w:rPr>
          <w:rFonts w:hint="eastAsia" w:ascii="仿宋_GB2312" w:hAnsi="Times New Roman" w:cs="Times New Roman"/>
          <w:snapToGrid w:val="0"/>
          <w:kern w:val="0"/>
          <w:lang w:val="zh-CN"/>
        </w:rPr>
        <w:t>小区综合改造提升，</w:t>
      </w:r>
      <w:r>
        <w:rPr>
          <w:rFonts w:hint="eastAsia" w:ascii="仿宋_GB2312" w:hAnsi="Times New Roman" w:cs="Times New Roman"/>
          <w:snapToGrid w:val="0"/>
          <w:kern w:val="0"/>
        </w:rPr>
        <w:t>完成</w:t>
      </w:r>
      <w:r>
        <w:rPr>
          <w:rFonts w:hint="eastAsia" w:ascii="仿宋_GB2312" w:hAnsi="Times New Roman" w:cs="Times New Roman"/>
          <w:snapToGrid w:val="0"/>
          <w:kern w:val="0"/>
          <w:lang w:val="zh-CN"/>
        </w:rPr>
        <w:t>75台电梯加装，改造经验成为全市导则范本</w:t>
      </w:r>
      <w:r>
        <w:rPr>
          <w:rFonts w:hint="eastAsia" w:ascii="仿宋_GB2312" w:hAnsi="Times New Roman" w:cs="Times New Roman"/>
          <w:snapToGrid w:val="0"/>
          <w:kern w:val="0"/>
        </w:rPr>
        <w:t>，</w:t>
      </w:r>
      <w:r>
        <w:rPr>
          <w:rFonts w:hint="eastAsia" w:ascii="仿宋_GB2312" w:hAnsi="Times New Roman" w:cs="仿宋"/>
          <w:snapToGrid w:val="0"/>
          <w:kern w:val="0"/>
        </w:rPr>
        <w:t>拱墅模式</w:t>
      </w:r>
      <w:r>
        <w:rPr>
          <w:rFonts w:hint="eastAsia" w:ascii="仿宋_GB2312" w:hAnsi="Times New Roman" w:cs="Times New Roman"/>
          <w:lang w:val="zh-CN"/>
        </w:rPr>
        <w:t>获</w:t>
      </w:r>
      <w:r>
        <w:rPr>
          <w:rFonts w:hint="eastAsia" w:ascii="仿宋_GB2312" w:hAnsi="Times New Roman" w:cs="Times New Roman"/>
          <w:snapToGrid w:val="0"/>
          <w:kern w:val="0"/>
          <w:lang w:val="zh-CN"/>
        </w:rPr>
        <w:t>住建部推广。</w:t>
      </w:r>
      <w:r>
        <w:rPr>
          <w:rFonts w:hint="eastAsia" w:ascii="仿宋_GB2312" w:hAnsi="Times New Roman" w:cs="Times New Roman"/>
          <w:snapToGrid w:val="0"/>
          <w:kern w:val="0"/>
        </w:rPr>
        <w:t>深入推进</w:t>
      </w:r>
      <w:r>
        <w:rPr>
          <w:rFonts w:hint="eastAsia" w:ascii="仿宋_GB2312" w:hAnsi="Times New Roman" w:cs="Times New Roman"/>
          <w:lang w:val="zh-CN"/>
        </w:rPr>
        <w:t>“</w:t>
      </w:r>
      <w:r>
        <w:rPr>
          <w:rFonts w:hint="eastAsia" w:ascii="仿宋_GB2312" w:hAnsi="Times New Roman" w:cs="Times New Roman"/>
          <w:snapToGrid w:val="0"/>
          <w:kern w:val="0"/>
        </w:rPr>
        <w:t>阳光老人家</w:t>
      </w:r>
      <w:r>
        <w:rPr>
          <w:rFonts w:hint="eastAsia" w:ascii="仿宋_GB2312" w:hAnsi="Times New Roman" w:cs="Times New Roman"/>
          <w:lang w:val="zh-CN"/>
        </w:rPr>
        <w:t>”</w:t>
      </w:r>
      <w:r>
        <w:rPr>
          <w:rFonts w:hint="eastAsia" w:ascii="仿宋_GB2312" w:hAnsi="Times New Roman" w:cs="Times New Roman"/>
          <w:snapToGrid w:val="0"/>
          <w:kern w:val="0"/>
        </w:rPr>
        <w:t>居家养老服务体系建设，</w:t>
      </w:r>
      <w:r>
        <w:rPr>
          <w:rFonts w:hint="eastAsia" w:ascii="仿宋_GB2312" w:hAnsi="Times New Roman" w:cs="Times New Roman"/>
          <w:snapToGrid w:val="0"/>
          <w:kern w:val="0"/>
          <w:lang w:val="zh-CN"/>
        </w:rPr>
        <w:t>成功创建国家智慧健康养老示范基地，</w:t>
      </w:r>
      <w:r>
        <w:rPr>
          <w:rFonts w:hint="eastAsia" w:ascii="仿宋_GB2312" w:hAnsi="Times New Roman" w:cs="Times New Roman"/>
          <w:snapToGrid w:val="0"/>
          <w:kern w:val="0"/>
        </w:rPr>
        <w:t>建成5家省级示范型居家养老服务中心，</w:t>
      </w:r>
      <w:r>
        <w:rPr>
          <w:rFonts w:hint="eastAsia" w:ascii="仿宋_GB2312" w:hAnsi="Times New Roman" w:cs="Times New Roman"/>
          <w:snapToGrid w:val="0"/>
          <w:kern w:val="0"/>
          <w:lang w:val="zh-CN"/>
        </w:rPr>
        <w:t>祥符、小河、和睦街道被国家三部委评为智慧健康养老示范街道</w:t>
      </w:r>
      <w:r>
        <w:rPr>
          <w:rFonts w:hint="eastAsia" w:ascii="仿宋_GB2312" w:hAnsi="Times New Roman" w:cs="仿宋_GB2312"/>
          <w:snapToGrid w:val="0"/>
          <w:kern w:val="0"/>
          <w:lang w:val="zh-CN"/>
        </w:rPr>
        <w:t>，</w:t>
      </w:r>
      <w:r>
        <w:rPr>
          <w:rFonts w:hint="eastAsia" w:ascii="仿宋_GB2312" w:hAnsi="Times New Roman" w:cs="Times New Roman"/>
          <w:snapToGrid w:val="0"/>
          <w:kern w:val="0"/>
          <w:lang w:val="zh-CN"/>
        </w:rPr>
        <w:t>李克强总理亲临和睦新村考察并对上述两项工作予以肯定。</w:t>
      </w:r>
      <w:r>
        <w:rPr>
          <w:rFonts w:hint="eastAsia" w:ascii="仿宋_GB2312" w:hAnsi="Times New Roman" w:cs="Times New Roman"/>
          <w:snapToGrid w:val="0"/>
          <w:kern w:val="0"/>
        </w:rPr>
        <w:t>持续增加公共服务供给，0-3岁托幼成为中计协全国试点</w:t>
      </w:r>
      <w:r>
        <w:rPr>
          <w:rFonts w:hint="eastAsia" w:ascii="仿宋_GB2312" w:hAnsi="Times New Roman" w:cs="Times New Roman"/>
          <w:snapToGrid w:val="0"/>
          <w:kern w:val="0"/>
          <w:lang w:val="zh-CN"/>
        </w:rPr>
        <w:t>。完善</w:t>
      </w:r>
      <w:r>
        <w:rPr>
          <w:rFonts w:hint="eastAsia" w:ascii="仿宋_GB2312" w:hAnsi="Times New Roman" w:cs="Times New Roman"/>
          <w:snapToGrid w:val="0"/>
          <w:kern w:val="0"/>
        </w:rPr>
        <w:t>民生保障体系，新增就业2.9万人，全民参保率、医疗保险参保率分别达99.4%、99.5%，</w:t>
      </w:r>
      <w:r>
        <w:rPr>
          <w:rFonts w:hint="eastAsia" w:ascii="仿宋_GB2312" w:hAnsi="Times New Roman" w:cs="Times New Roman"/>
          <w:snapToGrid w:val="0"/>
          <w:kern w:val="0"/>
          <w:lang w:val="zh-CN"/>
        </w:rPr>
        <w:t>健全区、街道、社区三级退役军人服务网络，“残疾人之家”</w:t>
      </w:r>
      <w:r>
        <w:rPr>
          <w:rFonts w:hint="eastAsia" w:ascii="仿宋_GB2312" w:hAnsi="Times New Roman" w:cs="Times New Roman"/>
          <w:snapToGrid w:val="0"/>
          <w:kern w:val="0"/>
        </w:rPr>
        <w:t>实现街道全覆盖</w:t>
      </w:r>
      <w:r>
        <w:rPr>
          <w:rFonts w:hint="eastAsia" w:ascii="仿宋_GB2312" w:hAnsi="Times New Roman" w:cs="Times New Roman"/>
          <w:snapToGrid w:val="0"/>
          <w:kern w:val="0"/>
          <w:lang w:val="zh-CN"/>
        </w:rPr>
        <w:t>。发放各类救助金</w:t>
      </w:r>
      <w:r>
        <w:rPr>
          <w:rFonts w:hint="eastAsia" w:ascii="仿宋_GB2312" w:hAnsi="Times New Roman" w:cs="Times New Roman"/>
          <w:snapToGrid w:val="0"/>
          <w:kern w:val="0"/>
        </w:rPr>
        <w:t>7079</w:t>
      </w:r>
      <w:r>
        <w:rPr>
          <w:rFonts w:hint="eastAsia" w:ascii="仿宋_GB2312" w:hAnsi="Times New Roman" w:cs="Times New Roman"/>
          <w:snapToGrid w:val="0"/>
          <w:kern w:val="0"/>
          <w:lang w:val="zh-CN"/>
        </w:rPr>
        <w:t>万元，惠及群众</w:t>
      </w:r>
      <w:r>
        <w:rPr>
          <w:rFonts w:hint="eastAsia" w:ascii="仿宋_GB2312" w:hAnsi="Times New Roman" w:cs="Times New Roman"/>
          <w:snapToGrid w:val="0"/>
          <w:kern w:val="0"/>
        </w:rPr>
        <w:t>8.7</w:t>
      </w:r>
      <w:r>
        <w:rPr>
          <w:rFonts w:hint="eastAsia" w:ascii="仿宋_GB2312" w:hAnsi="Times New Roman" w:cs="Times New Roman"/>
          <w:snapToGrid w:val="0"/>
          <w:kern w:val="0"/>
          <w:lang w:val="zh-CN"/>
        </w:rPr>
        <w:t>万人次。</w:t>
      </w:r>
      <w:r>
        <w:rPr>
          <w:rFonts w:hint="eastAsia" w:ascii="仿宋_GB2312" w:hAnsi="Times New Roman" w:cs="Times New Roman"/>
          <w:snapToGrid w:val="0"/>
          <w:kern w:val="0"/>
        </w:rPr>
        <w:t>创建省级“放心</w:t>
      </w:r>
      <w:r>
        <w:rPr>
          <w:rFonts w:hint="eastAsia" w:ascii="仿宋_GB2312" w:hAnsi="仿宋_GB2312" w:cs="仿宋_GB2312"/>
          <w:snapToGrid w:val="0"/>
          <w:kern w:val="0"/>
        </w:rPr>
        <w:t>农贸市场”</w:t>
      </w:r>
      <w:r>
        <w:rPr>
          <w:rFonts w:hint="eastAsia" w:ascii="仿宋_GB2312" w:hAnsi="Times New Roman" w:cs="Times New Roman"/>
          <w:snapToGrid w:val="0"/>
          <w:kern w:val="0"/>
        </w:rPr>
        <w:t>5家，</w:t>
      </w:r>
      <w:r>
        <w:rPr>
          <w:rFonts w:hint="eastAsia" w:ascii="仿宋_GB2312" w:hAnsi="Times New Roman" w:cs="Times New Roman"/>
          <w:snapToGrid w:val="0"/>
          <w:kern w:val="0"/>
          <w:lang w:val="zh-CN"/>
        </w:rPr>
        <w:t>投用安置房小区生活配套项目6个。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仿宋_GB2312" w:hAnsi="Times New Roman" w:cs="Times New Roman"/>
        </w:rPr>
      </w:pPr>
      <w:r>
        <w:rPr>
          <w:rFonts w:hint="eastAsia" w:ascii="Times New Roman" w:hAnsi="Times New Roman" w:eastAsia="楷体_GB2312" w:cs="Times New Roman"/>
          <w:b/>
          <w:bCs/>
          <w:snapToGrid w:val="0"/>
          <w:kern w:val="0"/>
        </w:rPr>
        <w:t>（七）促进社会和谐稳定，基层</w:t>
      </w:r>
      <w:r>
        <w:rPr>
          <w:rFonts w:hint="eastAsia" w:ascii="Times New Roman" w:hAnsi="Times New Roman" w:eastAsia="楷体_GB2312" w:cs="Times New Roman"/>
          <w:b/>
          <w:bCs/>
          <w:snapToGrid w:val="0"/>
          <w:kern w:val="0"/>
          <w:szCs w:val="22"/>
        </w:rPr>
        <w:t>治理收获新成果。</w:t>
      </w:r>
      <w:r>
        <w:rPr>
          <w:rFonts w:hint="eastAsia" w:ascii="仿宋_GB2312" w:hAnsi="Times New Roman" w:cs="Times New Roman"/>
          <w:snapToGrid w:val="0"/>
          <w:kern w:val="0"/>
          <w:lang w:val="zh-CN"/>
        </w:rPr>
        <w:t>完善社会治理机制，鼓励基层首创。</w:t>
      </w:r>
      <w:r>
        <w:rPr>
          <w:rFonts w:hint="eastAsia" w:ascii="仿宋_GB2312" w:hAnsi="Times New Roman" w:cs="Times New Roman"/>
          <w:lang w:val="zh-CN"/>
        </w:rPr>
        <w:t>持续深化三方协同治理，小河街道获评</w:t>
      </w:r>
      <w:r>
        <w:rPr>
          <w:rFonts w:hint="eastAsia" w:ascii="仿宋_GB2312" w:hAnsi="Times New Roman" w:cs="Times New Roman"/>
        </w:rPr>
        <w:t>省级城乡社区治理和服务创新</w:t>
      </w:r>
      <w:r>
        <w:rPr>
          <w:rFonts w:hint="eastAsia" w:ascii="仿宋_GB2312" w:hAnsi="Times New Roman" w:cs="Times New Roman"/>
          <w:lang w:val="zh-CN"/>
        </w:rPr>
        <w:t>实验区，安置房三方协同治理入选省级标准化试点，完成社工薪酬改革，全域实现“股社分离”。</w:t>
      </w:r>
      <w:r>
        <w:rPr>
          <w:rFonts w:hint="eastAsia" w:ascii="仿宋_GB2312" w:hAnsi="Times New Roman" w:cs="Times New Roman"/>
        </w:rPr>
        <w:t>电梯养老综合保险模式获国家市场监管总局推广，入选全国社会共治十大优秀案例。投用全国首个“心理社工”培育基地，</w:t>
      </w:r>
      <w:r>
        <w:rPr>
          <w:rFonts w:hint="eastAsia" w:ascii="仿宋_GB2312" w:hAnsi="Times New Roman" w:cs="Times New Roman"/>
          <w:lang w:val="zh-CN"/>
        </w:rPr>
        <w:t>成功创建省信访无积案区。“</w:t>
      </w:r>
      <w:r>
        <w:rPr>
          <w:rFonts w:hint="eastAsia" w:ascii="仿宋_GB2312" w:hAnsi="Times New Roman" w:cs="Times New Roman"/>
        </w:rPr>
        <w:t>城市眼·云共治</w:t>
      </w:r>
      <w:r>
        <w:rPr>
          <w:rFonts w:hint="eastAsia" w:ascii="仿宋_GB2312" w:hAnsi="Times New Roman" w:cs="Times New Roman"/>
          <w:lang w:val="zh-CN"/>
        </w:rPr>
        <w:t>”</w:t>
      </w:r>
      <w:r>
        <w:rPr>
          <w:rFonts w:hint="eastAsia" w:ascii="仿宋_GB2312" w:hAnsi="Times New Roman" w:cs="Times New Roman"/>
        </w:rPr>
        <w:t>覆盖主要街区，成功入选</w:t>
      </w:r>
      <w:r>
        <w:rPr>
          <w:rFonts w:hint="eastAsia" w:ascii="仿宋_GB2312" w:hAnsi="Times New Roman" w:cs="Times New Roman"/>
          <w:lang w:val="zh-CN"/>
        </w:rPr>
        <w:t>“</w:t>
      </w:r>
      <w:r>
        <w:rPr>
          <w:rFonts w:hint="eastAsia" w:ascii="仿宋_GB2312" w:hAnsi="Times New Roman" w:cs="Times New Roman"/>
        </w:rPr>
        <w:t>城市大脑</w:t>
      </w:r>
      <w:r>
        <w:rPr>
          <w:rFonts w:hint="eastAsia" w:ascii="仿宋_GB2312" w:hAnsi="Times New Roman" w:cs="Times New Roman"/>
          <w:lang w:val="zh-CN"/>
        </w:rPr>
        <w:t>”</w:t>
      </w:r>
      <w:r>
        <w:rPr>
          <w:rFonts w:hint="eastAsia" w:ascii="仿宋_GB2312" w:hAnsi="Times New Roman" w:cs="Times New Roman"/>
        </w:rPr>
        <w:t>重点应用场景</w:t>
      </w:r>
      <w:r>
        <w:rPr>
          <w:rFonts w:hint="eastAsia" w:ascii="仿宋_GB2312" w:hAnsi="Times New Roman" w:cs="Times New Roman"/>
          <w:snapToGrid w:val="0"/>
          <w:kern w:val="0"/>
          <w:lang w:val="zh-CN"/>
        </w:rPr>
        <w:t>。</w:t>
      </w:r>
      <w:r>
        <w:rPr>
          <w:rFonts w:hint="eastAsia" w:ascii="仿宋_GB2312" w:hAnsi="Times New Roman" w:cs="Times New Roman"/>
        </w:rPr>
        <w:t>推进“雪亮工程”，</w:t>
      </w:r>
      <w:r>
        <w:rPr>
          <w:rFonts w:hint="eastAsia" w:ascii="仿宋_GB2312" w:hAnsi="Times New Roman"/>
          <w:snapToGrid w:val="0"/>
          <w:kern w:val="0"/>
        </w:rPr>
        <w:t>治安警情下降21.4%，</w:t>
      </w:r>
      <w:r>
        <w:rPr>
          <w:rFonts w:hint="eastAsia" w:ascii="仿宋_GB2312" w:hAnsi="Times New Roman" w:cs="Times New Roman"/>
        </w:rPr>
        <w:t>连续十四年获评省“平安区”。圆满完成征兵、维稳、安全生产、消防安全、城市应急、防灾减灾、食药安全等各项任务。</w:t>
      </w:r>
    </w:p>
    <w:p>
      <w:pPr>
        <w:adjustRightInd w:val="0"/>
        <w:snapToGrid w:val="0"/>
        <w:spacing w:line="580" w:lineRule="exact"/>
        <w:ind w:firstLine="643" w:firstLineChars="200"/>
      </w:pPr>
      <w:r>
        <w:rPr>
          <w:rFonts w:hint="eastAsia" w:ascii="Times New Roman" w:hAnsi="Times New Roman" w:eastAsia="楷体_GB2312" w:cs="Times New Roman"/>
          <w:b/>
          <w:bCs/>
          <w:snapToGrid w:val="0"/>
          <w:kern w:val="0"/>
        </w:rPr>
        <w:t>（八）坚持守初心担使命，自身建设焕发新气象</w:t>
      </w:r>
      <w:r>
        <w:rPr>
          <w:rFonts w:hint="eastAsia" w:ascii="Times New Roman" w:hAnsi="Times New Roman" w:eastAsia="楷体_GB2312" w:cs="Times New Roman"/>
          <w:b/>
          <w:bCs/>
          <w:snapToGrid w:val="0"/>
          <w:kern w:val="0"/>
          <w:szCs w:val="22"/>
        </w:rPr>
        <w:t>。</w:t>
      </w:r>
      <w:r>
        <w:rPr>
          <w:rFonts w:hint="eastAsia" w:ascii="仿宋_GB2312" w:hAnsi="Times New Roman" w:cs="仿宋_GB2312"/>
        </w:rPr>
        <w:t>深入</w:t>
      </w:r>
      <w:r>
        <w:rPr>
          <w:rFonts w:hint="eastAsia" w:ascii="仿宋_GB2312" w:hAnsi="Times New Roman" w:cs="Times New Roman"/>
          <w:lang w:val="zh-CN"/>
        </w:rPr>
        <w:t>开展“不忘初心、牢记使命”主题教育，</w:t>
      </w:r>
      <w:r>
        <w:rPr>
          <w:rFonts w:hint="eastAsia" w:ascii="仿宋_GB2312" w:hAnsi="Times New Roman" w:cs="Times New Roman"/>
        </w:rPr>
        <w:t>推进“走亲连心三服务”、新时代解放思想大讨论、互看互学大比武等活动，</w:t>
      </w:r>
      <w:r>
        <w:rPr>
          <w:rFonts w:hint="eastAsia" w:ascii="仿宋_GB2312" w:hAnsi="Times New Roman" w:cs="Times New Roman"/>
          <w:snapToGrid w:val="0"/>
          <w:kern w:val="0"/>
        </w:rPr>
        <w:t>高质量完成省委巡视整改阶段性任务。</w:t>
      </w:r>
      <w:r>
        <w:rPr>
          <w:rFonts w:hint="eastAsia" w:ascii="仿宋_GB2312" w:hAnsi="Times New Roman" w:cs="Times New Roman"/>
        </w:rPr>
        <w:t>加快政府职能转变，</w:t>
      </w:r>
      <w:r>
        <w:rPr>
          <w:rFonts w:hint="eastAsia" w:ascii="仿宋_GB2312" w:hAnsi="Times New Roman" w:cs="Times New Roman"/>
          <w:lang w:val="zh-CN"/>
        </w:rPr>
        <w:t>圆满完成政府机构改革</w:t>
      </w:r>
      <w:r>
        <w:rPr>
          <w:rFonts w:hint="eastAsia" w:ascii="仿宋_GB2312" w:hAnsi="Times New Roman" w:cs="Times New Roman"/>
        </w:rPr>
        <w:t>，</w:t>
      </w:r>
      <w:r>
        <w:rPr>
          <w:rFonts w:hint="eastAsia" w:ascii="仿宋_GB2312" w:hAnsi="Times New Roman" w:cs="Times New Roman"/>
          <w:snapToGrid w:val="0"/>
          <w:kern w:val="0"/>
        </w:rPr>
        <w:t>重组、改制</w:t>
      </w:r>
      <w:r>
        <w:rPr>
          <w:rFonts w:hint="eastAsia" w:ascii="仿宋_GB2312" w:hAnsi="Times New Roman" w:cs="Times New Roman"/>
        </w:rPr>
        <w:t>国有企业</w:t>
      </w:r>
      <w:r>
        <w:rPr>
          <w:rFonts w:hint="eastAsia" w:ascii="仿宋_GB2312" w:hAnsi="Times New Roman" w:cs="Times New Roman"/>
          <w:snapToGrid w:val="0"/>
          <w:kern w:val="0"/>
        </w:rPr>
        <w:t>5家。</w:t>
      </w:r>
      <w:r>
        <w:rPr>
          <w:rFonts w:hint="eastAsia" w:ascii="仿宋_GB2312" w:hAnsi="Times New Roman" w:cs="仿宋_GB2312"/>
        </w:rPr>
        <w:t>深入实施机关内部“最多跑一次”改革</w:t>
      </w:r>
      <w:r>
        <w:rPr>
          <w:rFonts w:hint="eastAsia" w:ascii="仿宋_GB2312" w:hAnsi="Times New Roman" w:cs="Times New Roman"/>
        </w:rPr>
        <w:t>，深</w:t>
      </w:r>
      <w:r>
        <w:rPr>
          <w:rFonts w:hint="eastAsia" w:ascii="仿宋_GB2312" w:hAnsi="Times New Roman" w:cs="Times New Roman"/>
          <w:snapToGrid w:val="0"/>
          <w:kern w:val="0"/>
        </w:rPr>
        <w:t>化预算支出标准体系建设，</w:t>
      </w:r>
      <w:r>
        <w:rPr>
          <w:rFonts w:hint="eastAsia" w:ascii="仿宋_GB2312" w:hAnsi="Times New Roman" w:cs="Times New Roman"/>
        </w:rPr>
        <w:t>实现</w:t>
      </w:r>
      <w:r>
        <w:rPr>
          <w:rFonts w:hint="eastAsia" w:ascii="仿宋_GB2312" w:hAnsi="Times New Roman" w:cs="Times New Roman"/>
          <w:snapToGrid w:val="0"/>
          <w:kern w:val="0"/>
        </w:rPr>
        <w:t>财政</w:t>
      </w:r>
      <w:r>
        <w:rPr>
          <w:rFonts w:hint="eastAsia" w:ascii="仿宋_GB2312" w:hAnsi="Times New Roman" w:cs="Times New Roman"/>
        </w:rPr>
        <w:t>绩效管理全覆盖</w:t>
      </w:r>
      <w:r>
        <w:rPr>
          <w:rFonts w:hint="eastAsia" w:ascii="仿宋_GB2312" w:hAnsi="Times New Roman" w:cs="Times New Roman"/>
          <w:snapToGrid w:val="0"/>
          <w:kern w:val="0"/>
        </w:rPr>
        <w:t>。</w:t>
      </w:r>
      <w:r>
        <w:rPr>
          <w:rFonts w:hint="eastAsia" w:ascii="仿宋_GB2312" w:hAnsi="Times New Roman" w:cs="Times New Roman"/>
        </w:rPr>
        <w:t>完善政府依法决策机制，全面推进政务公开，推行重大行政决策目录化管理。</w:t>
      </w:r>
      <w:r>
        <w:rPr>
          <w:rFonts w:hint="eastAsia" w:ascii="仿宋_GB2312" w:hAnsi="Times New Roman" w:cs="Times New Roman"/>
          <w:snapToGrid w:val="0"/>
          <w:kern w:val="0"/>
          <w:lang w:val="zh-CN"/>
        </w:rPr>
        <w:t>自觉接受人大法律监督和政协民主监督，主动接受监察、司法、审计、舆论和社会监督，办理人大建议</w:t>
      </w:r>
      <w:r>
        <w:rPr>
          <w:rFonts w:hint="eastAsia" w:ascii="仿宋_GB2312" w:hAnsi="Times New Roman" w:cs="Times New Roman"/>
          <w:snapToGrid w:val="0"/>
          <w:kern w:val="0"/>
        </w:rPr>
        <w:t>110</w:t>
      </w:r>
      <w:r>
        <w:rPr>
          <w:rFonts w:hint="eastAsia" w:ascii="仿宋_GB2312" w:hAnsi="Times New Roman" w:cs="Times New Roman"/>
          <w:snapToGrid w:val="0"/>
          <w:kern w:val="0"/>
          <w:lang w:val="zh-CN"/>
        </w:rPr>
        <w:t>件、政协提案</w:t>
      </w:r>
      <w:r>
        <w:rPr>
          <w:rFonts w:hint="eastAsia" w:ascii="仿宋_GB2312" w:hAnsi="Times New Roman" w:cs="Times New Roman"/>
          <w:snapToGrid w:val="0"/>
          <w:kern w:val="0"/>
        </w:rPr>
        <w:t>119</w:t>
      </w:r>
      <w:r>
        <w:rPr>
          <w:rFonts w:hint="eastAsia" w:ascii="仿宋_GB2312" w:hAnsi="Times New Roman" w:cs="Times New Roman"/>
          <w:snapToGrid w:val="0"/>
          <w:kern w:val="0"/>
          <w:lang w:val="zh-CN"/>
        </w:rPr>
        <w:t>件，办结率</w:t>
      </w:r>
      <w:r>
        <w:rPr>
          <w:rFonts w:hint="eastAsia" w:ascii="仿宋_GB2312" w:hAnsi="Times New Roman" w:cs="Times New Roman"/>
        </w:rPr>
        <w:t>100</w:t>
      </w:r>
      <w:r>
        <w:rPr>
          <w:rFonts w:hint="eastAsia" w:ascii="仿宋_GB2312" w:hAnsi="Times New Roman" w:cs="Times New Roman"/>
          <w:lang w:val="zh-CN"/>
        </w:rPr>
        <w:t>%。</w:t>
      </w:r>
      <w:r>
        <w:rPr>
          <w:rFonts w:hint="eastAsia" w:ascii="仿宋_GB2312" w:hAnsi="Times New Roman" w:cs="Times New Roman"/>
          <w:snapToGrid w:val="0"/>
          <w:kern w:val="0"/>
        </w:rPr>
        <w:t>全面落实党风廉政建设和作风效能建设，严格执行中央八项规定，驰而不息整治“四风”，政治生态更加风清气正。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Times New Roman" w:cs="Times New Roman"/>
          <w:snapToGrid w:val="0"/>
          <w:kern w:val="0"/>
        </w:rPr>
      </w:pPr>
      <w:r>
        <w:rPr>
          <w:rFonts w:ascii="Times New Roman" w:hAnsi="Times New Roman" w:cs="Times New Roman"/>
          <w:snapToGrid w:val="0"/>
          <w:kern w:val="0"/>
        </w:rPr>
        <w:t>过去一年，有关方面围绕全区中心工作，在各自领域作出了不懈努力。</w:t>
      </w:r>
      <w:r>
        <w:rPr>
          <w:rFonts w:hint="eastAsia" w:ascii="仿宋_GB2312" w:hAnsi="Times New Roman" w:cs="Times New Roman"/>
          <w:snapToGrid w:val="0"/>
          <w:kern w:val="0"/>
        </w:rPr>
        <w:t>妇女儿童、老龄、红十字会、爱国卫生、科学普及、统计等工作不断进步，民族宗教、外事侨务、港澳台、双拥、民兵预备役和人民防空等工作取得新成绩。</w:t>
      </w:r>
    </w:p>
    <w:p>
      <w:pPr>
        <w:adjustRightInd w:val="0"/>
        <w:snapToGrid w:val="0"/>
        <w:spacing w:line="580" w:lineRule="exact"/>
        <w:ind w:firstLine="648" w:firstLineChars="200"/>
        <w:rPr>
          <w:rFonts w:ascii="仿宋_GB2312" w:hAnsi="Times New Roman" w:cs="Times New Roman"/>
          <w:snapToGrid w:val="0"/>
          <w:kern w:val="0"/>
        </w:rPr>
      </w:pPr>
      <w:r>
        <w:rPr>
          <w:rFonts w:ascii="Times New Roman" w:hAnsi="Times New Roman" w:cs="Times New Roman"/>
          <w:spacing w:val="2"/>
          <w:kern w:val="0"/>
        </w:rPr>
        <w:t>各位代表，</w:t>
      </w:r>
      <w:r>
        <w:rPr>
          <w:rFonts w:hint="eastAsia" w:ascii="Times New Roman" w:hAnsi="Times New Roman" w:cs="Times New Roman"/>
          <w:spacing w:val="2"/>
          <w:kern w:val="0"/>
        </w:rPr>
        <w:t>事非经过不知难，成如容易却艰辛。</w:t>
      </w:r>
      <w:r>
        <w:rPr>
          <w:rFonts w:ascii="Times New Roman" w:hAnsi="Times New Roman" w:cs="Times New Roman"/>
          <w:spacing w:val="2"/>
          <w:kern w:val="0"/>
        </w:rPr>
        <w:t>一年来</w:t>
      </w:r>
      <w:r>
        <w:rPr>
          <w:rFonts w:hint="eastAsia" w:ascii="Times New Roman" w:hAnsi="Times New Roman" w:cs="Times New Roman"/>
          <w:spacing w:val="2"/>
          <w:kern w:val="0"/>
        </w:rPr>
        <w:t>，</w:t>
      </w:r>
      <w:r>
        <w:rPr>
          <w:rFonts w:ascii="Times New Roman" w:hAnsi="Times New Roman" w:cs="Times New Roman"/>
          <w:spacing w:val="2"/>
          <w:kern w:val="0"/>
        </w:rPr>
        <w:t>我们砥砺奋进，在高质量发展的道路上经受住了各种风险挑战的考验，成绩来之不易</w:t>
      </w:r>
      <w:r>
        <w:rPr>
          <w:rFonts w:hint="eastAsia" w:ascii="Times New Roman" w:hAnsi="Times New Roman" w:cs="Times New Roman"/>
          <w:spacing w:val="2"/>
          <w:kern w:val="0"/>
        </w:rPr>
        <w:t>。</w:t>
      </w:r>
      <w:r>
        <w:rPr>
          <w:rFonts w:hint="eastAsia" w:ascii="仿宋_GB2312" w:hAnsi="Times New Roman" w:cs="Times New Roman"/>
          <w:snapToGrid w:val="0"/>
          <w:kern w:val="0"/>
        </w:rPr>
        <w:t>这是市委、市政府和区委正确领导的结果，是区人大、区政协监督支持的结果，也是社会各界、全区人民奋楫争先、共同奋斗的结果。</w:t>
      </w:r>
      <w:r>
        <w:rPr>
          <w:rFonts w:ascii="Times New Roman" w:hAnsi="Times New Roman" w:cs="Times New Roman"/>
          <w:snapToGrid w:val="0"/>
          <w:kern w:val="0"/>
        </w:rPr>
        <w:t>在此，我谨代表区人民政府，</w:t>
      </w:r>
      <w:r>
        <w:rPr>
          <w:rFonts w:hint="eastAsia" w:ascii="仿宋_GB2312" w:hAnsi="Times New Roman" w:cs="Times New Roman"/>
          <w:snapToGrid w:val="0"/>
          <w:kern w:val="0"/>
        </w:rPr>
        <w:t>向为拱墅建设和发展付出辛勤劳动的全区人民，向给予政府大力支持的党代表、人大代表、政协委员和各民主党派、无党派人士、工商联、群众团体以及辖区各企事业单位、驻军，向所有关心和参与拱墅经济社会发展的社会各界人士，表示衷心的感谢和崇高的敬意！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cs="Times New Roman"/>
          <w:spacing w:val="2"/>
          <w:kern w:val="0"/>
        </w:rPr>
      </w:pPr>
      <w:r>
        <w:rPr>
          <w:rFonts w:ascii="Times New Roman" w:hAnsi="Times New Roman" w:cs="Times New Roman"/>
          <w:snapToGrid w:val="0"/>
          <w:kern w:val="0"/>
        </w:rPr>
        <w:t>在肯定成绩的同时，我们也清醒地看到，</w:t>
      </w:r>
      <w:r>
        <w:rPr>
          <w:rFonts w:ascii="Times New Roman" w:hAnsi="Times New Roman" w:cs="Times New Roman"/>
          <w:spacing w:val="2"/>
          <w:kern w:val="0"/>
        </w:rPr>
        <w:t>当前</w:t>
      </w:r>
      <w:r>
        <w:rPr>
          <w:rFonts w:hint="eastAsia" w:ascii="Times New Roman" w:hAnsi="Times New Roman" w:cs="Times New Roman"/>
          <w:spacing w:val="2"/>
          <w:kern w:val="0"/>
        </w:rPr>
        <w:t>拱墅</w:t>
      </w:r>
      <w:r>
        <w:rPr>
          <w:rFonts w:ascii="Times New Roman" w:hAnsi="Times New Roman" w:cs="Times New Roman"/>
          <w:spacing w:val="2"/>
          <w:kern w:val="0"/>
        </w:rPr>
        <w:t>面临产业</w:t>
      </w:r>
      <w:r>
        <w:rPr>
          <w:rFonts w:hint="eastAsia" w:ascii="Times New Roman" w:hAnsi="Times New Roman" w:cs="Times New Roman"/>
          <w:spacing w:val="2"/>
          <w:kern w:val="0"/>
        </w:rPr>
        <w:t>、城市</w:t>
      </w:r>
      <w:r>
        <w:rPr>
          <w:rFonts w:ascii="Times New Roman" w:hAnsi="Times New Roman" w:cs="Times New Roman"/>
          <w:spacing w:val="2"/>
          <w:kern w:val="0"/>
        </w:rPr>
        <w:t>转型</w:t>
      </w:r>
      <w:r>
        <w:rPr>
          <w:rFonts w:hint="eastAsia" w:ascii="Times New Roman" w:hAnsi="Times New Roman" w:cs="Times New Roman"/>
          <w:spacing w:val="2"/>
          <w:kern w:val="0"/>
        </w:rPr>
        <w:t>的双重</w:t>
      </w:r>
      <w:r>
        <w:rPr>
          <w:rFonts w:ascii="Times New Roman" w:hAnsi="Times New Roman" w:cs="Times New Roman"/>
          <w:spacing w:val="2"/>
          <w:kern w:val="0"/>
        </w:rPr>
        <w:t>压力，</w:t>
      </w:r>
      <w:r>
        <w:rPr>
          <w:rFonts w:ascii="Times New Roman" w:hAnsi="Times New Roman" w:cs="Times New Roman"/>
          <w:snapToGrid w:val="0"/>
          <w:kern w:val="0"/>
        </w:rPr>
        <w:t>经济社会发展</w:t>
      </w:r>
      <w:r>
        <w:rPr>
          <w:rFonts w:hint="eastAsia" w:ascii="Times New Roman" w:hAnsi="Times New Roman" w:cs="Times New Roman"/>
          <w:snapToGrid w:val="0"/>
          <w:kern w:val="0"/>
        </w:rPr>
        <w:t>存在</w:t>
      </w:r>
      <w:r>
        <w:rPr>
          <w:rFonts w:ascii="Times New Roman" w:hAnsi="Times New Roman" w:cs="Times New Roman"/>
          <w:snapToGrid w:val="0"/>
          <w:kern w:val="0"/>
        </w:rPr>
        <w:t>不少困难和挑战。主要是：</w:t>
      </w:r>
      <w:r>
        <w:rPr>
          <w:rFonts w:hint="eastAsia" w:ascii="Times New Roman" w:hAnsi="Times New Roman" w:cs="Times New Roman"/>
          <w:snapToGrid w:val="0"/>
          <w:kern w:val="0"/>
        </w:rPr>
        <w:t>产业能级整体不高，龙头企业亟待引育，离引领大城北产业崛起的目标仍有差距；政府数字化转型速度不快，数据壁垒亟待打破，离一流营商环境的样本城区仍有差距；城市功能不够完善，文化竞争力亟待提升，离大气精致的运河沿岸名区形象仍有差距；优质公共服务供给不足，配置效率亟待增强，离人民群众对美好生活的向往仍有差距；法治政府建设不够深入，基层治理亟待创新，离治理体系和治理能力现代化仍有差距。</w:t>
      </w:r>
      <w:r>
        <w:rPr>
          <w:rFonts w:ascii="Times New Roman" w:hAnsi="Times New Roman" w:cs="Times New Roman"/>
          <w:spacing w:val="2"/>
          <w:kern w:val="0"/>
        </w:rPr>
        <w:t>对此，我们将直面问题，采取有力措施，切实加以解决。</w:t>
      </w:r>
    </w:p>
    <w:p>
      <w:pPr>
        <w:pStyle w:val="2"/>
        <w:adjustRightInd w:val="0"/>
        <w:snapToGrid w:val="0"/>
        <w:spacing w:beforeAutospacing="0" w:afterAutospacing="0"/>
        <w:ind w:firstLine="964" w:firstLineChars="200"/>
        <w:jc w:val="both"/>
        <w:rPr>
          <w:rFonts w:ascii="Times New Roman" w:hAnsi="Times New Roman"/>
        </w:rPr>
      </w:pPr>
    </w:p>
    <w:p>
      <w:pPr>
        <w:adjustRightInd w:val="0"/>
        <w:snapToGrid w:val="0"/>
        <w:jc w:val="center"/>
        <w:rPr>
          <w:rFonts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二、</w:t>
      </w:r>
      <w:r>
        <w:rPr>
          <w:rFonts w:ascii="黑体" w:hAnsi="黑体" w:eastAsia="黑体" w:cs="Times New Roman"/>
        </w:rPr>
        <w:t>20</w:t>
      </w:r>
      <w:r>
        <w:rPr>
          <w:rFonts w:hint="eastAsia" w:ascii="黑体" w:hAnsi="黑体" w:eastAsia="黑体" w:cs="Times New Roman"/>
        </w:rPr>
        <w:t>20</w:t>
      </w:r>
      <w:r>
        <w:rPr>
          <w:rFonts w:ascii="黑体" w:hAnsi="黑体" w:eastAsia="黑体" w:cs="Times New Roman"/>
        </w:rPr>
        <w:t>年的发展目标和重点工作</w:t>
      </w:r>
    </w:p>
    <w:p>
      <w:pPr>
        <w:pStyle w:val="2"/>
        <w:adjustRightInd w:val="0"/>
        <w:snapToGrid w:val="0"/>
        <w:spacing w:beforeAutospacing="0" w:afterAutospacing="0"/>
        <w:jc w:val="both"/>
        <w:rPr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ascii="仿宋_GB2312"/>
        </w:rPr>
      </w:pPr>
      <w:r>
        <w:rPr>
          <w:rFonts w:hint="eastAsia" w:ascii="仿宋_GB2312"/>
        </w:rPr>
        <w:t>2020年是收官“十三五”、布局“十四五”的关键之年。从宏观形势看，全球动荡源和风险点显著增多，国内经济下行压力加大，我区投资稳中承压，财政收入增长乏力，保持向好的发展态势需要凝聚更强的动能支撑，但经济稳中向好、长期向好，延续高质量发展的基本趋势没有改变。全区上下要保持战略定力，做到决心不变，信心不减，举措不松，把压力转化为促进发展的有效动力，抢抓机遇、乘势而上，为高质量建成运河沿岸名区奠定坚实的基础。</w:t>
      </w:r>
    </w:p>
    <w:p>
      <w:pPr>
        <w:adjustRightInd w:val="0"/>
        <w:snapToGrid w:val="0"/>
        <w:ind w:firstLine="640" w:firstLineChars="200"/>
        <w:rPr>
          <w:rFonts w:ascii="楷体_GB2312" w:hAnsi="Times New Roman" w:eastAsia="楷体_GB2312" w:cs="楷体_GB2312"/>
          <w:b/>
          <w:bCs/>
        </w:rPr>
      </w:pPr>
      <w:r>
        <w:rPr>
          <w:rFonts w:hint="eastAsia" w:ascii="仿宋_GB2312" w:hAnsi="Times New Roman" w:cs="仿宋_GB2312"/>
        </w:rPr>
        <w:t>根据区委七届八次全会精神，2020年政府工作的指导思想是：</w:t>
      </w:r>
      <w:r>
        <w:rPr>
          <w:rFonts w:hint="eastAsia" w:ascii="黑体" w:hAnsi="黑体" w:eastAsia="黑体" w:cs="楷体_GB2312"/>
          <w:bCs/>
        </w:rPr>
        <w:t>以习近平新时代中国特色社会主义思想为指导，深入贯彻落实党的十九大、十九届四中全会和省市区委全会精神，坚持稳中求进工作总基调，坚持新发展理念，以“六大专项行动”和“五场比赛”为主抓手，持续推动高质量发展，坚决打赢三大攻坚战，加快大运河文化带建设，全面推进区域治理体系和治理能力现代化，稳增长、促改革、调结构、惠民生、防风险、保稳定，促进全区经济社会持续健康发展，努力争当高水平全面建成小康社会排头兵。</w:t>
      </w:r>
    </w:p>
    <w:p>
      <w:pPr>
        <w:pStyle w:val="2"/>
        <w:adjustRightInd w:val="0"/>
        <w:snapToGrid w:val="0"/>
        <w:spacing w:beforeAutospacing="0" w:afterAutospacing="0"/>
        <w:ind w:firstLine="640" w:firstLineChars="200"/>
        <w:jc w:val="both"/>
        <w:rPr>
          <w:rFonts w:ascii="仿宋_GB2312" w:hAns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综合考虑各方面因素，</w:t>
      </w:r>
      <w:r>
        <w:rPr>
          <w:rFonts w:hint="eastAsia" w:ascii="楷体_GB2312" w:hAnsi="楷体" w:eastAsia="楷体_GB2312" w:cs="楷体"/>
          <w:kern w:val="2"/>
          <w:sz w:val="32"/>
          <w:szCs w:val="32"/>
        </w:rPr>
        <w:t>今年全区经济社会发展的主要预期目标建议为：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地区生产总值增长6.5%以上；全社会R&amp;D经费支出增长15%；财政收入增长与经济增长基本同步，有效投资、节能减排、环境保护、社会事业和民生保障等指标确保完成市下达目标任务。</w:t>
      </w:r>
    </w:p>
    <w:p>
      <w:pPr>
        <w:pStyle w:val="2"/>
        <w:adjustRightInd w:val="0"/>
        <w:snapToGrid w:val="0"/>
        <w:spacing w:beforeAutospacing="0" w:afterAutospacing="0"/>
        <w:ind w:firstLine="640" w:firstLineChars="200"/>
        <w:jc w:val="both"/>
        <w:rPr>
          <w:rFonts w:ascii="仿宋_GB2312" w:hAns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完成今年主要目标，要坚定不移贯彻新发展理念，把握中央经济工作会议“四个必须”的重要认识，始终把发展作为第一要务，干好“六五四”、收官“十三五”，以一流施工队的担当引领大城北崛起，重点把握好“六个坚持”：</w:t>
      </w:r>
    </w:p>
    <w:p>
      <w:pPr>
        <w:pStyle w:val="2"/>
        <w:adjustRightInd w:val="0"/>
        <w:snapToGrid w:val="0"/>
        <w:spacing w:beforeAutospacing="0" w:afterAutospacing="0"/>
        <w:ind w:firstLine="643" w:firstLineChars="200"/>
        <w:jc w:val="both"/>
        <w:rPr>
          <w:rFonts w:ascii="仿宋_GB2312" w:hAns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</w:rPr>
        <w:t>一要坚持稳中求进，在高质量发展上取得新成效。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坚持以进固稳、以稳应变，着力抓项目、扩投资，引导重点平台、重大项目早出效益；拓市场、促消费，充分发挥重点领域和商业综合体作用；增信心、稳预期，做深做实“三服务”，主动为企业排忧解难。确保在经济增长、民生底线、风险防控上稳得住，在转换动能、调优结构、提高效益上进得好。</w:t>
      </w:r>
    </w:p>
    <w:p>
      <w:pPr>
        <w:pStyle w:val="2"/>
        <w:adjustRightInd w:val="0"/>
        <w:snapToGrid w:val="0"/>
        <w:spacing w:beforeAutospacing="0" w:afterAutospacing="0"/>
        <w:ind w:firstLine="643" w:firstLineChars="200"/>
        <w:jc w:val="both"/>
        <w:rPr>
          <w:rFonts w:ascii="仿宋_GB2312" w:hAns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</w:rPr>
        <w:t>二要坚持发展赋能，在竞争力提升上取得新优势</w:t>
      </w:r>
      <w:r>
        <w:rPr>
          <w:rFonts w:hint="eastAsia" w:ascii="楷体_GB2312" w:hAnsi="仿宋_GB2312" w:eastAsia="楷体_GB2312" w:cs="仿宋_GB2312"/>
          <w:kern w:val="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增强企业的主体作用，坚定不移走“三化融合”之路，持续打造高端要素高效交互的产业社区生态，推动资金项目嫁接转化和产学研深度融合，通过科技赋能、数字赋能、人才赋能、金融赋能、产业生态赋能，全面提升企业核心竞争力和产业链水平，进一步畅通经济循环，建设现代化市场体系。</w:t>
      </w:r>
    </w:p>
    <w:p>
      <w:pPr>
        <w:pStyle w:val="2"/>
        <w:adjustRightInd w:val="0"/>
        <w:snapToGrid w:val="0"/>
        <w:spacing w:beforeAutospacing="0" w:afterAutospacing="0"/>
        <w:ind w:firstLine="643" w:firstLineChars="200"/>
        <w:jc w:val="both"/>
        <w:rPr>
          <w:rFonts w:ascii="仿宋_GB2312" w:hAns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</w:rPr>
        <w:t>三要坚持战略机遇，在大平台开发上取得新拓展</w:t>
      </w:r>
      <w:r>
        <w:rPr>
          <w:rFonts w:hint="eastAsia" w:ascii="楷体_GB2312" w:hAnsi="仿宋_GB2312" w:eastAsia="楷体_GB2312" w:cs="仿宋_GB2312"/>
          <w:kern w:val="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充分发挥在长三角一体化、大运河文化带、“北建”战略中的区位、空间和文化优势，依托杭州城市的整体形象和能级，主动承接上海的溢出效应，对接长三角区域、运河沿线城市群的大平台大市场，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kern w:val="2"/>
          <w:sz w:val="32"/>
          <w:szCs w:val="32"/>
        </w:rPr>
        <w:t>在更高层次上推动资源的整合互动，持续提升拱墅的文化影响力、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 xml:space="preserve">产业渗透力和要素吸纳能力。 </w:t>
      </w:r>
    </w:p>
    <w:p>
      <w:pPr>
        <w:pStyle w:val="2"/>
        <w:adjustRightInd w:val="0"/>
        <w:snapToGrid w:val="0"/>
        <w:spacing w:beforeAutospacing="0" w:afterAutospacing="0"/>
        <w:ind w:firstLine="643" w:firstLineChars="200"/>
        <w:jc w:val="both"/>
        <w:rPr>
          <w:rFonts w:ascii="仿宋_GB2312" w:hAns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</w:rPr>
        <w:t>四要坚持环境优先，在集聚力增强上取得新突破</w:t>
      </w:r>
      <w:r>
        <w:rPr>
          <w:rFonts w:hint="eastAsia" w:ascii="楷体_GB2312" w:hAnsi="仿宋_GB2312" w:eastAsia="楷体_GB2312" w:cs="仿宋_GB2312"/>
          <w:kern w:val="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把环境作为集聚发展要素的最大竞争力，全力保障基础设施、公共服务和商业配套供给，提供舒适便捷的生活体验；加快沿河沿山沿路景观、生态和文化带建设，全域提升美丽拱墅的“颜值”；优化政务服务、政策扶持供给，切实降低创新创业的时间、商务和制度成本，打造国内一流的营商环境。</w:t>
      </w:r>
    </w:p>
    <w:p>
      <w:pPr>
        <w:pStyle w:val="2"/>
        <w:adjustRightInd w:val="0"/>
        <w:snapToGrid w:val="0"/>
        <w:spacing w:beforeAutospacing="0" w:afterAutospacing="0"/>
        <w:ind w:firstLine="643" w:firstLineChars="200"/>
        <w:jc w:val="both"/>
        <w:rPr>
          <w:rFonts w:ascii="仿宋_GB2312" w:hAns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</w:rPr>
        <w:t>五要坚持民生为本，在现代化治理上取得新经验</w:t>
      </w:r>
      <w:r>
        <w:rPr>
          <w:rFonts w:hint="eastAsia" w:ascii="楷体_GB2312" w:hAnsi="仿宋_GB2312" w:eastAsia="楷体_GB2312" w:cs="仿宋_GB2312"/>
          <w:kern w:val="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</w:rPr>
        <w:t>把握高水平全面建成小康社会的目标要求，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完善普惠均衡、共建共享的社会治理结构，坚持提高社会治理法治化、专业化、智慧化水平，结合老旧小区改造，深化医疗、养老、托幼等民生服务领域的市场化改革，推动居民生活服务业发展，增强多层次多样化供给能力，让全区人民有更多的获得感、幸福感、安全感。</w:t>
      </w:r>
    </w:p>
    <w:p>
      <w:pPr>
        <w:pStyle w:val="2"/>
        <w:adjustRightInd w:val="0"/>
        <w:snapToGrid w:val="0"/>
        <w:spacing w:beforeAutospacing="0" w:afterAutospacing="0"/>
        <w:ind w:firstLine="643" w:firstLineChars="200"/>
        <w:jc w:val="both"/>
        <w:rPr>
          <w:rFonts w:ascii="仿宋_GB2312" w:hAns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</w:rPr>
        <w:t>六要坚持务实重行，在高效率执行上取得新进步</w:t>
      </w:r>
      <w:r>
        <w:rPr>
          <w:rFonts w:hint="eastAsia" w:ascii="楷体_GB2312" w:hAnsi="仿宋_GB2312" w:eastAsia="楷体_GB2312" w:cs="仿宋_GB2312"/>
          <w:kern w:val="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全面深化政府绩效管理，发挥“项目化管理、清单式交办、节点式督查”和“攻坚破难”问题协调机制作用，全力推进“六大专项行动”“五场比赛”“四大工程”。强化“全区一盘棋”的系统作战理念，注重多业务协同、跨部门协作，把制度优势转化为执行力效能，确保战略部署高效落地。</w:t>
      </w:r>
    </w:p>
    <w:p>
      <w:pPr>
        <w:adjustRightInd w:val="0"/>
        <w:snapToGrid w:val="0"/>
        <w:ind w:firstLine="640" w:firstLineChars="200"/>
        <w:rPr>
          <w:rFonts w:ascii="仿宋_GB2312" w:hAnsi="Times New Roman" w:cs="楷体_GB2312"/>
        </w:rPr>
      </w:pPr>
      <w:r>
        <w:rPr>
          <w:rFonts w:hint="eastAsia" w:ascii="仿宋_GB2312" w:hAnsi="Times New Roman" w:cs="仿宋_GB2312"/>
        </w:rPr>
        <w:t>重点抓好</w:t>
      </w:r>
      <w:r>
        <w:rPr>
          <w:rFonts w:hint="eastAsia" w:ascii="仿宋_GB2312" w:hAnsi="Times New Roman" w:cs="Times New Roman"/>
        </w:rPr>
        <w:t>5</w:t>
      </w:r>
      <w:r>
        <w:rPr>
          <w:rFonts w:hint="eastAsia" w:ascii="仿宋_GB2312" w:hAnsi="Times New Roman" w:cs="仿宋_GB2312"/>
        </w:rPr>
        <w:t>个方面的工作：</w:t>
      </w:r>
    </w:p>
    <w:p>
      <w:pPr>
        <w:pStyle w:val="2"/>
        <w:adjustRightInd w:val="0"/>
        <w:snapToGrid w:val="0"/>
        <w:spacing w:beforeAutospacing="0" w:afterAutospacing="0"/>
        <w:ind w:firstLine="643" w:firstLineChars="200"/>
        <w:jc w:val="both"/>
        <w:rPr>
          <w:rFonts w:ascii="Times New Roman" w:hAnsi="Times New Roman" w:eastAsia="楷体_GB2312" w:cs="楷体_GB2312"/>
          <w:kern w:val="2"/>
          <w:sz w:val="32"/>
          <w:szCs w:val="32"/>
        </w:rPr>
      </w:pPr>
      <w:r>
        <w:rPr>
          <w:rFonts w:hint="eastAsia" w:ascii="Times New Roman" w:hAnsi="Times New Roman" w:eastAsia="楷体_GB2312" w:cs="楷体_GB2312"/>
          <w:kern w:val="2"/>
          <w:sz w:val="32"/>
          <w:szCs w:val="32"/>
        </w:rPr>
        <w:t>（一）聚焦发展第一要务，全力实现经济平稳健康增长。</w:t>
      </w:r>
    </w:p>
    <w:p>
      <w:pPr>
        <w:pStyle w:val="2"/>
        <w:adjustRightInd w:val="0"/>
        <w:snapToGrid w:val="0"/>
        <w:spacing w:beforeAutospacing="0" w:afterAutospacing="0"/>
        <w:ind w:firstLine="640" w:firstLineChars="200"/>
        <w:jc w:val="both"/>
        <w:rPr>
          <w:rFonts w:ascii="Times New Roman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全面做好“六稳”工作，发挥消费基础作用和投资关键作用，走出高质量可持续快发展之路。</w:t>
      </w:r>
    </w:p>
    <w:p>
      <w:pPr>
        <w:pStyle w:val="2"/>
        <w:adjustRightInd w:val="0"/>
        <w:snapToGrid w:val="0"/>
        <w:spacing w:beforeAutospacing="0" w:afterAutospacing="0"/>
        <w:ind w:firstLine="643" w:firstLineChars="200"/>
        <w:jc w:val="both"/>
        <w:rPr>
          <w:rFonts w:ascii="Times New Roman" w:hAnsi="Times New Roman" w:eastAsia="仿宋_GB2312" w:cs="Times New Roman"/>
          <w:b w:val="0"/>
          <w:bCs w:val="0"/>
          <w:color w:val="0000FF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1、支持实体企业发展。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</w:rPr>
        <w:t>落实振兴实体经济、支持民营经济</w:t>
      </w:r>
      <w:r>
        <w:rPr>
          <w:rFonts w:hint="eastAsia" w:ascii="仿宋_GB2312" w:hAnsi="Times New Roman" w:eastAsia="仿宋_GB2312" w:cs="Times New Roman"/>
          <w:b w:val="0"/>
          <w:bCs w:val="0"/>
          <w:spacing w:val="-4"/>
          <w:kern w:val="2"/>
          <w:sz w:val="32"/>
          <w:szCs w:val="32"/>
        </w:rPr>
        <w:t>高质量发展和减税降费等重大政策，实施优化营商环境专项行动，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</w:rPr>
        <w:t>开展优商服务赛，完善产业扶持系列政策。推行经济管理“1418”工作法，精准服务重点税源企业，深化企业解难机制，多措并举回应企业经营发展的实际需求，有序推进“僵尸企业”处置。助推企业对接多层次资本市场，进一步缓解民营企业融资难融资贵问题。实施新消费计划，鼓励发展新零售、新业态，大力发展“首店经济”，精心打造一批商业综合体、商业特色街、会展节赛，持续提高运河商圈知名度。</w:t>
      </w:r>
    </w:p>
    <w:p>
      <w:pPr>
        <w:pStyle w:val="2"/>
        <w:adjustRightInd w:val="0"/>
        <w:snapToGrid w:val="0"/>
        <w:spacing w:beforeAutospacing="0" w:afterAutospacing="0"/>
        <w:ind w:firstLine="643" w:firstLineChars="200"/>
        <w:jc w:val="both"/>
        <w:rPr>
          <w:rFonts w:ascii="Times New Roman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2、强化平台项目支撑。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</w:rPr>
        <w:t>坚持以大平台、大项目带动经济发展，实施产业平台建设专项行动，十大产业平台实现常规税收50亿元以上，特色主导产业主营占比提升至80%，培育税收超千万企业70家以上，新增楼宇规上企业110家以上。实施公共项目建设专项行动，安排省、市、区重点项目90个，开工联想创投集团总部等20个项目，投用汽车互联网产业园二期等5个项</w:t>
      </w:r>
      <w:r>
        <w:rPr>
          <w:rFonts w:hint="eastAsia" w:ascii="仿宋_GB2312" w:hAnsi="Times New Roman" w:eastAsia="仿宋_GB2312" w:cs="Times New Roman"/>
          <w:b w:val="0"/>
          <w:bCs w:val="0"/>
          <w:snapToGrid w:val="0"/>
          <w:spacing w:val="-10"/>
          <w:kern w:val="0"/>
          <w:sz w:val="32"/>
          <w:szCs w:val="32"/>
        </w:rPr>
        <w:t>目，实现固定资产投资增长10%以上，其中，高新技术产业投资、生态环境与公共设施投资、民间投资、工业投资均增长10%以上。深入实施留用地开发建设三年行动计划，开工项目14个，投用3个。</w:t>
      </w:r>
    </w:p>
    <w:p>
      <w:pPr>
        <w:pStyle w:val="2"/>
        <w:adjustRightInd w:val="0"/>
        <w:snapToGrid w:val="0"/>
        <w:spacing w:beforeAutospacing="0" w:afterAutospacing="0"/>
        <w:ind w:firstLine="643" w:firstLineChars="200"/>
        <w:jc w:val="both"/>
        <w:rPr>
          <w:rFonts w:ascii="仿宋_GB2312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3、深化重点领域改革。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</w:rPr>
        <w:t>以“最多跑一次”改革为牵引，深化商事登记制度改革，推进个体工商户登记注销、公民个人和企业“一件事”联办。打造智慧政务大厅3.0系统，政务服务实现“一次刷脸、全域通办”。优化企业投资项目审批机制，推行一项一码、一窗受理、全程网办和全流程监管，实现一般企业投资项目审批验收“最多80天”。推进资源要素差别化配置，深化工业用地“标准地”改革和“亩均论英雄”综合评价机制。</w:t>
      </w:r>
    </w:p>
    <w:p>
      <w:pPr>
        <w:pStyle w:val="2"/>
        <w:adjustRightInd w:val="0"/>
        <w:snapToGrid w:val="0"/>
        <w:spacing w:beforeAutospacing="0" w:afterAutospacing="0"/>
        <w:ind w:firstLine="643" w:firstLineChars="200"/>
        <w:jc w:val="both"/>
        <w:rPr>
          <w:rFonts w:ascii="Times New Roman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4、防范金融风险隐患。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</w:rPr>
        <w:t>进一步整顿规范金融秩序，稳妥化解涉众型金融领域风险，以头部平台为重心，推进资产清收处置，全力追赃挽损。全面对接省“天罗地网”监测系统，筑牢金融风险“防火墙”。强化金融风险网格化排查，提高发现、预警和处置能力，实施风险联动监管，打好防范化解组合拳。加强政府债务管控，健全举债融资机制，规范政府债券发行，稳妥化解隐性债务，确保政府中长期债务风险总体可控。</w:t>
      </w:r>
    </w:p>
    <w:p>
      <w:pPr>
        <w:pStyle w:val="2"/>
        <w:adjustRightInd w:val="0"/>
        <w:snapToGrid w:val="0"/>
        <w:spacing w:beforeAutospacing="0" w:afterAutospacing="0"/>
        <w:ind w:firstLine="643" w:firstLineChars="200"/>
        <w:jc w:val="both"/>
        <w:rPr>
          <w:rFonts w:ascii="Times New Roman" w:hAnsi="Times New Roman" w:eastAsia="楷体_GB2312" w:cs="楷体_GB2312"/>
          <w:kern w:val="2"/>
          <w:sz w:val="32"/>
          <w:szCs w:val="32"/>
        </w:rPr>
      </w:pPr>
      <w:r>
        <w:rPr>
          <w:rFonts w:hint="eastAsia" w:ascii="Times New Roman" w:hAnsi="Times New Roman" w:eastAsia="楷体_GB2312" w:cs="楷体_GB2312"/>
          <w:kern w:val="2"/>
          <w:sz w:val="32"/>
          <w:szCs w:val="32"/>
        </w:rPr>
        <w:t>（二）推动产业能级提升，深度融入长三角一体化发展。</w:t>
      </w:r>
    </w:p>
    <w:p>
      <w:pPr>
        <w:pStyle w:val="2"/>
        <w:adjustRightInd w:val="0"/>
        <w:snapToGrid w:val="0"/>
        <w:spacing w:beforeAutospacing="0" w:afterAutospacing="0"/>
        <w:ind w:firstLine="640" w:firstLineChars="200"/>
        <w:jc w:val="both"/>
        <w:rPr>
          <w:rFonts w:ascii="仿宋_GB2312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</w:rPr>
        <w:t>紧抓长三角一体化发展机遇，坚持在产业链与创新链提升上做文章，下好转型升级“先手棋”。</w:t>
      </w:r>
    </w:p>
    <w:p>
      <w:pPr>
        <w:pStyle w:val="2"/>
        <w:adjustRightInd w:val="0"/>
        <w:snapToGrid w:val="0"/>
        <w:spacing w:beforeAutospacing="0" w:afterAutospacing="0"/>
        <w:ind w:firstLine="643" w:firstLineChars="200"/>
        <w:jc w:val="both"/>
        <w:rPr>
          <w:rFonts w:ascii="仿宋_GB2312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1、强化数字经济引领。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</w:rPr>
        <w:t>紧抓数字经济“一号工程”，加快数字内容产业集聚，全力打造产业集群和示范园区。依托智慧网谷小镇，开工58同城、联想、网谷商务先行区、浙数文化等项目，落地省国贸集团等5个项目，加快顺丰、新浪、奇虎360、中科院计算所数字经济产业研究院等龙头企业和机构落地核心业务，集聚关联企业，做大产业能级；发挥汽车互联网小镇省级创新服务综合体产业赋能作用，新增重点产业链项目4个，投用万科二期；推进上塘电商小镇“两带三园”建设，电商企业规模达500家以上。实现数字经济核心产业增加值增长10%以上。</w:t>
      </w:r>
    </w:p>
    <w:p>
      <w:pPr>
        <w:pStyle w:val="2"/>
        <w:adjustRightInd w:val="0"/>
        <w:snapToGrid w:val="0"/>
        <w:spacing w:beforeAutospacing="0" w:afterAutospacing="0"/>
        <w:ind w:firstLine="643" w:firstLineChars="200"/>
        <w:jc w:val="both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2、加快新制造业培育。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</w:rPr>
        <w:t>实施新制造业发展专项行动，重点打造生物医药、生命健康、高端装备制造、新能源、工业设计等核心产业集群，着力提高都市工业质量。提升改造工业平台，推进康桥新能源产业园腾笼换鸟、北城·智汇园提质增效、工业设计小镇赋能发展，探索杭钢园区“工业上楼”。强化工业项目支撑作用，加快华东医药生命科学产业园、顺丰国际生鲜供应链基地、杭钢云计算数据中心二期等项目建设，推动康桥、杭钢单元等工业新项目供地。规上工业企业增至78家，实现规上工业增加值增长8%以上。</w:t>
      </w:r>
    </w:p>
    <w:p>
      <w:pPr>
        <w:pStyle w:val="2"/>
        <w:adjustRightInd w:val="0"/>
        <w:snapToGrid w:val="0"/>
        <w:spacing w:beforeAutospacing="0" w:afterAutospacing="0"/>
        <w:ind w:firstLine="643" w:firstLineChars="200"/>
        <w:jc w:val="both"/>
        <w:rPr>
          <w:rFonts w:ascii="仿宋_GB2312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3、完善科技创新体系。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</w:rPr>
        <w:t>抓住长三角打造世界级创新平台和增长极的有利契机，引进培育高精尖科技企业和特色创新平台。打好高新技术企业培育三年行动收官战，新增国家高新技术企业43家以上、“旭日”企业35家以上，申报院士专家工作站1个、省市研发机构6个。培育自主知识产权企业，争创专利（试点）示范企业10家。做好中欧创新中心、中德共塑对接中心、上海交大科创中心等高层次科研平台的引进建设。与上海张江等高水平科创平台合作，建设联合孵化器，新建国家和省、市级孵化器、众创空间4家以上。加强与浙江工程师学院等校地合作，推动产学研项目落地，推出运河创业创新学院升级版。完成瓜山未来社区建设，打造驱动“产城人”深度融合的创新创业载体。</w:t>
      </w:r>
    </w:p>
    <w:p>
      <w:pPr>
        <w:pStyle w:val="2"/>
        <w:adjustRightInd w:val="0"/>
        <w:snapToGrid w:val="0"/>
        <w:spacing w:beforeAutospacing="0" w:afterAutospacing="0"/>
        <w:ind w:firstLine="643" w:firstLineChars="200"/>
        <w:jc w:val="both"/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4、增强双招双引实效。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</w:rPr>
        <w:t>紧抓杭州建设国家新一代人工智能创新发展试验区机遇，瞄准大数据、数字内容、汽车后市场服务、生物医药、集成电路等细分领域的领军企业，聚焦产业招商、平台招商、精准招商，强化“一对一”定制化服务，推行“项目+基金”产融结合的招商新模式。突出招大引强，落地省市县长项目3个，招引龙头企业11家、亿元以上项目50个、产业链项目20个以上。深入实施人才引领发展战略，申报市级高层次人才50人以上，引进外籍非华裔人才项目10个以上。扎实开展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zh-CN"/>
        </w:rPr>
        <w:t>对口帮扶、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</w:rPr>
        <w:t>山海协作、对口合作、区县协作等工作。</w:t>
      </w:r>
    </w:p>
    <w:p>
      <w:pPr>
        <w:pStyle w:val="2"/>
        <w:adjustRightInd w:val="0"/>
        <w:snapToGrid w:val="0"/>
        <w:spacing w:beforeAutospacing="0" w:afterAutospacing="0"/>
        <w:ind w:firstLine="643" w:firstLineChars="200"/>
        <w:jc w:val="both"/>
        <w:rPr>
          <w:rFonts w:ascii="Times New Roman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ascii="Times New Roman" w:hAnsi="Times New Roman" w:eastAsia="楷体_GB2312" w:cs="楷体_GB2312"/>
          <w:kern w:val="2"/>
          <w:sz w:val="32"/>
          <w:szCs w:val="32"/>
        </w:rPr>
        <w:t>（</w:t>
      </w:r>
      <w:r>
        <w:rPr>
          <w:rFonts w:hint="eastAsia" w:ascii="Times New Roman" w:hAnsi="Times New Roman" w:eastAsia="楷体_GB2312" w:cs="楷体_GB2312"/>
          <w:kern w:val="2"/>
          <w:sz w:val="32"/>
          <w:szCs w:val="32"/>
        </w:rPr>
        <w:t>三</w:t>
      </w:r>
      <w:r>
        <w:rPr>
          <w:rFonts w:ascii="Times New Roman" w:hAnsi="Times New Roman" w:eastAsia="楷体_GB2312" w:cs="楷体_GB2312"/>
          <w:kern w:val="2"/>
          <w:sz w:val="32"/>
          <w:szCs w:val="32"/>
        </w:rPr>
        <w:t>）</w:t>
      </w:r>
      <w:r>
        <w:rPr>
          <w:rFonts w:hint="eastAsia" w:ascii="Times New Roman" w:hAnsi="Times New Roman" w:eastAsia="楷体_GB2312" w:cs="楷体_GB2312"/>
          <w:kern w:val="2"/>
          <w:sz w:val="32"/>
          <w:szCs w:val="32"/>
        </w:rPr>
        <w:t>提升城市功能品质，奋力跑出大城北崛起加速度。</w:t>
      </w:r>
    </w:p>
    <w:p>
      <w:pPr>
        <w:pStyle w:val="2"/>
        <w:adjustRightInd w:val="0"/>
        <w:snapToGrid w:val="0"/>
        <w:spacing w:beforeAutospacing="0" w:afterAutospacing="0"/>
        <w:ind w:firstLine="640" w:firstLineChars="200"/>
        <w:jc w:val="both"/>
        <w:rPr>
          <w:rFonts w:ascii="仿宋_GB2312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</w:rPr>
        <w:t>高标准建设大城北核心区，以“一年推出一个新拱墅”的决心和魄力，持续推进城市有机更新。</w:t>
      </w:r>
    </w:p>
    <w:p>
      <w:pPr>
        <w:pStyle w:val="2"/>
        <w:adjustRightInd w:val="0"/>
        <w:snapToGrid w:val="0"/>
        <w:spacing w:beforeAutospacing="0" w:afterAutospacing="0"/>
        <w:ind w:firstLine="643" w:firstLineChars="200"/>
        <w:jc w:val="both"/>
        <w:rPr>
          <w:rFonts w:ascii="仿宋_GB2312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1、加快城市开发建设。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</w:rPr>
        <w:t>坚持国土空间总体规划和大城北核心区规划引领，实施131个大城北开发建设项目，提速城市功能完善、产业升级、环境改善步伐。加快安置房和配套项目建设，竣工安置房14万平方米，交付57万平方米，开工配套项目20个，回迁安置1000户以上，在外过渡5年以上群众全部“安置回家”。加强土地要素保障，出让经营性用地12宗450亩，收储11宗472亩。优化土地资源配置，消化利用批而未供、供而未用、低效用地共3300亩。</w:t>
      </w:r>
    </w:p>
    <w:p>
      <w:pPr>
        <w:pStyle w:val="2"/>
        <w:adjustRightInd w:val="0"/>
        <w:snapToGrid w:val="0"/>
        <w:spacing w:beforeAutospacing="0" w:afterAutospacing="0"/>
        <w:ind w:firstLine="643" w:firstLineChars="200"/>
        <w:jc w:val="both"/>
        <w:rPr>
          <w:rFonts w:ascii="仿宋_GB2312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2、提高城市承载能力。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</w:rPr>
        <w:t>加快构建路网体系，实施94条53公里道路建设，重点推进谢村路、俞家桥路、康园路、储鑫路等主次干道建设，开工18条、完工10条。大力缓解“停车难”，新增公共停车泊位550个，开工及续建3000个，新增地下空间60万平方米。加快地铁三期3、4、10号线站点建设，促进地铁布点与区块开发紧密结合。全面提升绿化品质，改造绿道5条18.7公里，新增绿化面积20万平方米。着力满足多层次人群住房需求，开工人才专项租赁房项目2个，筹建蓝领公寓500套。</w:t>
      </w:r>
    </w:p>
    <w:p>
      <w:pPr>
        <w:pStyle w:val="2"/>
        <w:adjustRightInd w:val="0"/>
        <w:snapToGrid w:val="0"/>
        <w:spacing w:beforeAutospacing="0" w:afterAutospacing="0"/>
        <w:ind w:firstLine="643" w:firstLineChars="200"/>
        <w:jc w:val="both"/>
        <w:rPr>
          <w:rFonts w:ascii="仿宋_GB2312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3、守护都市生态底色。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</w:rPr>
        <w:t>全力打好蓝天、碧水、净土、清废“四大战役”，实施美丽拱墅提升专项行动，让“推窗见绿、开门亲水”成为拱墅独特的都市水乡韵味。强化工地、道路、裸土扬尘治理，提升空气优良率。深化“五水共治”成果，创建市、区“美丽河道”25条，建设沿河生态廊道7条9公里，实施65个“污水零直排”生活小区建设，全域创建省级“污水零直排区”。推进污染土地防治，实现“绿色供地”。开展垃圾分类赛，改造提升66个老旧小区分类设施，创建44个生活垃圾分类示范小区，推进垃圾分类走在全市前列。</w:t>
      </w:r>
    </w:p>
    <w:p>
      <w:pPr>
        <w:adjustRightInd w:val="0"/>
        <w:snapToGrid w:val="0"/>
        <w:ind w:firstLine="643" w:firstLineChars="200"/>
      </w:pPr>
      <w:r>
        <w:rPr>
          <w:rFonts w:hint="eastAsia" w:ascii="仿宋_GB2312" w:hAnsi="Times New Roman" w:cs="Times New Roman"/>
          <w:b/>
          <w:bCs/>
        </w:rPr>
        <w:t>4、做精绣花管理模式。</w:t>
      </w:r>
      <w:r>
        <w:rPr>
          <w:rFonts w:hint="eastAsia" w:ascii="仿宋_GB2312" w:hAnsi="Times New Roman" w:cs="Times New Roman"/>
        </w:rPr>
        <w:t>全面深化城市精细化治理，提高日常保洁、渣土消纳、停车管理等服务水平，让城市更干净更有序。完善基层城市治理共治共享模式，开展店招店牌视觉设计管理试点，创建“一街一品”街容众包示范街10条。扮靓城市夜景，点亮暗点盲区20处。加强燃气安全源头管理，打造“瓶改管”示范街区。推进“厕所革命”，新建、改造公厕12座。有序推进“三改一拆”、道路交通安全整治、工程车整治等工作。</w:t>
      </w:r>
    </w:p>
    <w:p>
      <w:pPr>
        <w:pStyle w:val="2"/>
        <w:adjustRightInd w:val="0"/>
        <w:snapToGrid w:val="0"/>
        <w:spacing w:beforeAutospacing="0" w:afterAutospacing="0"/>
        <w:ind w:firstLine="643" w:firstLineChars="200"/>
        <w:jc w:val="both"/>
        <w:rPr>
          <w:rFonts w:ascii="Times New Roman" w:hAnsi="Times New Roman" w:eastAsia="楷体_GB2312" w:cs="楷体_GB2312"/>
          <w:kern w:val="2"/>
          <w:sz w:val="32"/>
          <w:szCs w:val="32"/>
        </w:rPr>
      </w:pPr>
      <w:r>
        <w:rPr>
          <w:rFonts w:ascii="Times New Roman" w:hAnsi="Times New Roman" w:eastAsia="楷体_GB2312" w:cs="楷体_GB2312"/>
          <w:kern w:val="2"/>
          <w:sz w:val="32"/>
          <w:szCs w:val="32"/>
        </w:rPr>
        <w:t>（</w:t>
      </w:r>
      <w:r>
        <w:rPr>
          <w:rFonts w:hint="eastAsia" w:ascii="Times New Roman" w:hAnsi="Times New Roman" w:eastAsia="楷体_GB2312" w:cs="楷体_GB2312"/>
          <w:kern w:val="2"/>
          <w:sz w:val="32"/>
          <w:szCs w:val="32"/>
        </w:rPr>
        <w:t>四</w:t>
      </w:r>
      <w:r>
        <w:rPr>
          <w:rFonts w:ascii="Times New Roman" w:hAnsi="Times New Roman" w:eastAsia="楷体_GB2312" w:cs="楷体_GB2312"/>
          <w:kern w:val="2"/>
          <w:sz w:val="32"/>
          <w:szCs w:val="32"/>
        </w:rPr>
        <w:t>）</w:t>
      </w:r>
      <w:r>
        <w:rPr>
          <w:rFonts w:hint="eastAsia" w:ascii="Times New Roman" w:hAnsi="Times New Roman" w:eastAsia="楷体_GB2312" w:cs="楷体_GB2312"/>
          <w:kern w:val="2"/>
          <w:sz w:val="32"/>
          <w:szCs w:val="32"/>
        </w:rPr>
        <w:t>推动文化繁荣兴盛，加快实施大运河文化带建设。</w:t>
      </w:r>
    </w:p>
    <w:p>
      <w:pPr>
        <w:pStyle w:val="2"/>
        <w:adjustRightInd w:val="0"/>
        <w:snapToGrid w:val="0"/>
        <w:spacing w:beforeAutospacing="0" w:afterAutospacing="0"/>
        <w:ind w:firstLine="640" w:firstLineChars="200"/>
        <w:jc w:val="both"/>
        <w:rPr>
          <w:rFonts w:ascii="仿宋_GB2312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</w:rPr>
        <w:t>积极传承大运河文化历史根脉，厚植拱墅文化基因，把运河拱墅段建设成璀璨文化带、绿色生态带、缤纷旅游带。</w:t>
      </w:r>
    </w:p>
    <w:p>
      <w:pPr>
        <w:pStyle w:val="2"/>
        <w:adjustRightInd w:val="0"/>
        <w:snapToGrid w:val="0"/>
        <w:spacing w:beforeAutospacing="0" w:afterAutospacing="0"/>
        <w:ind w:firstLine="643" w:firstLineChars="200"/>
        <w:jc w:val="both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1、推动文化“两区”建设。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</w:rPr>
        <w:t>全域建设大运河国家文化公园样板区、大运河文化带核心示范区，重点打造石祥路以南大运河核心街区、大运河新城、半山国家森林公园“华彩段”。加快大运河中央公园、祥符桥传统风貌街区等标志性文化项目建设，开放文化规划馆、民俗迹忆馆，加快形成“一址两园两街三馆两中心”的文化地标格局。持续唱响运河文化“四季歌”，举办第二届大运河沿岸区县合作论坛、“大匠至心”论坛等文化交流活动，不断擦亮大运河文化“金名片”。</w:t>
      </w:r>
    </w:p>
    <w:p>
      <w:pPr>
        <w:pStyle w:val="2"/>
        <w:adjustRightInd w:val="0"/>
        <w:snapToGrid w:val="0"/>
        <w:spacing w:beforeAutospacing="0" w:afterAutospacing="0"/>
        <w:ind w:firstLine="643" w:firstLineChars="200"/>
        <w:jc w:val="both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2、促进文旅融合发展。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</w:rPr>
        <w:t>打造“夜运河·月光经济”，整合大运河沿线特色街区、商业综合体、主题酒店、文化地标、滨河公园等资源，建成运河·百县千碗特色美食文旅小镇，投用大悦城“悦街”，唱响夜旅游、夜产业、夜文化、夜消费“四重奏”。盘活丝联166、运河艺术园区、浙窑陶艺公园等文创资源，推出工业遗存特色旅游项目。串联上塘河风情小镇和半山国家森林公园，修缮善贤坝遗址、皋亭积雪等重要节点，打造山水连廊的体</w:t>
      </w:r>
      <w:r>
        <w:rPr>
          <w:rFonts w:hint="eastAsia" w:ascii="仿宋_GB2312" w:hAnsi="Times New Roman" w:eastAsia="仿宋_GB2312" w:cs="Times New Roman"/>
          <w:b w:val="0"/>
          <w:bCs w:val="0"/>
          <w:spacing w:val="-8"/>
          <w:kern w:val="2"/>
          <w:sz w:val="32"/>
          <w:szCs w:val="32"/>
        </w:rPr>
        <w:t>育休闲旅游景观带。推进运河左岸·丽水路文化街区、祥符文化街区、义桥老街运河景观带建设，实现文化与传统、休闲的有机统一。</w:t>
      </w:r>
    </w:p>
    <w:p>
      <w:pPr>
        <w:pStyle w:val="2"/>
        <w:adjustRightInd w:val="0"/>
        <w:snapToGrid w:val="0"/>
        <w:spacing w:beforeAutospacing="0" w:afterAutospacing="0"/>
        <w:ind w:firstLine="643" w:firstLineChars="200"/>
        <w:jc w:val="both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3、厚植文化基底内涵。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</w:rPr>
        <w:t>推进社区文化家园、城市文化公园、企业文化俱乐部建设，不断夯实基层文化阵地。深入开展文化惠民工程，打造大运河戏曲驿站廊道，创作重现以荣华戏园为代表的老戏台戏曲历史剧。深化“民星大舞台”等基层文化阵地建设，推进文化精品创作“一街一品”，加快基层公共文化示范项目建设。深入开展非遗文化发掘保护，打造大运河非遗会客厅，以市场化模式办好中国非遗博览会，讲好拱墅故事。</w:t>
      </w:r>
    </w:p>
    <w:p>
      <w:pPr>
        <w:pStyle w:val="2"/>
        <w:adjustRightInd w:val="0"/>
        <w:snapToGrid w:val="0"/>
        <w:spacing w:beforeAutospacing="0" w:afterAutospacing="0"/>
        <w:ind w:firstLine="643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  <w:shd w:val="clear" w:color="FFFFFF" w:fill="D9D9D9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4、营造亚运筹办氛围。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</w:rPr>
        <w:t>全面做好亚运会前期保障，加快大运河亚运公园主场馆建设，开展“迎亚运”道路整治行动，启动地铁4号线沿线平炼路、沈半路等道路整治。开展“全民参与·共享亚运”等公众活动，办好首届大运河沿线城市乒乓球邀请赛。持续扩大中国皮划艇巡回赛、“新年走大运”“香积祈福”等传统品牌活动的影响力，打造与自然人文景观相融的体育赛事。加强基层体育设施配备，新建、更新体育健身苑点14处。</w:t>
      </w:r>
    </w:p>
    <w:p>
      <w:pPr>
        <w:pStyle w:val="2"/>
        <w:adjustRightInd w:val="0"/>
        <w:snapToGrid w:val="0"/>
        <w:spacing w:beforeAutospacing="0" w:afterAutospacing="0"/>
        <w:ind w:firstLine="643" w:firstLineChars="200"/>
        <w:jc w:val="both"/>
        <w:rPr>
          <w:rFonts w:ascii="Times New Roman" w:hAnsi="Times New Roman" w:eastAsia="楷体_GB2312" w:cs="楷体_GB2312"/>
          <w:kern w:val="2"/>
          <w:sz w:val="32"/>
          <w:szCs w:val="32"/>
        </w:rPr>
      </w:pPr>
      <w:r>
        <w:rPr>
          <w:rFonts w:ascii="Times New Roman" w:hAnsi="Times New Roman" w:eastAsia="楷体_GB2312" w:cs="楷体_GB2312"/>
          <w:kern w:val="2"/>
          <w:sz w:val="32"/>
          <w:szCs w:val="32"/>
        </w:rPr>
        <w:t>（</w:t>
      </w:r>
      <w:r>
        <w:rPr>
          <w:rFonts w:hint="eastAsia" w:ascii="Times New Roman" w:hAnsi="Times New Roman" w:eastAsia="楷体_GB2312" w:cs="楷体_GB2312"/>
          <w:kern w:val="2"/>
          <w:sz w:val="32"/>
          <w:szCs w:val="32"/>
        </w:rPr>
        <w:t>五</w:t>
      </w:r>
      <w:r>
        <w:rPr>
          <w:rFonts w:ascii="Times New Roman" w:hAnsi="Times New Roman" w:eastAsia="楷体_GB2312" w:cs="楷体_GB2312"/>
          <w:kern w:val="2"/>
          <w:sz w:val="32"/>
          <w:szCs w:val="32"/>
        </w:rPr>
        <w:t>）</w:t>
      </w:r>
      <w:r>
        <w:rPr>
          <w:rFonts w:hint="eastAsia" w:ascii="Times New Roman" w:hAnsi="Times New Roman" w:eastAsia="楷体_GB2312" w:cs="楷体_GB2312"/>
          <w:kern w:val="2"/>
          <w:sz w:val="32"/>
          <w:szCs w:val="32"/>
        </w:rPr>
        <w:t>提高全面小康成色，积极构建现代化治理共同体。</w:t>
      </w:r>
    </w:p>
    <w:p>
      <w:pPr>
        <w:pStyle w:val="2"/>
        <w:adjustRightInd w:val="0"/>
        <w:snapToGrid w:val="0"/>
        <w:spacing w:beforeAutospacing="0" w:afterAutospacing="0"/>
        <w:ind w:firstLine="640" w:firstLineChars="200"/>
        <w:jc w:val="both"/>
        <w:rPr>
          <w:rFonts w:ascii="仿宋_GB2312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</w:rPr>
        <w:t>坚持以人民为中心的发展理念，努力在惠民利民安民上下功夫，推动社会治理体系和治理能力现代化。</w:t>
      </w:r>
    </w:p>
    <w:p>
      <w:pPr>
        <w:pStyle w:val="2"/>
        <w:adjustRightInd w:val="0"/>
        <w:snapToGrid w:val="0"/>
        <w:spacing w:beforeAutospacing="0" w:afterAutospacing="0"/>
        <w:ind w:firstLine="643" w:firstLineChars="200"/>
        <w:jc w:val="both"/>
        <w:rPr>
          <w:rFonts w:ascii="仿宋_GB2312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1、深化老旧小区改造。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</w:rPr>
        <w:t>坚持“共谋、共建、共管、共评、共享”理念，推行“标准引领+功能提升+特色改造”的建设模式，确保131个小区全面开工，着力破解“资本参与难、居民出资难、长效管理难”，打造具有推广意义的全国样板。结合老旧小区改造提升推进电梯加装，加梯60台以上。坚持建管结合，实施物业综合管理三年行动，实现改后小区长效管理全覆盖，发挥“议事会”“圆桌会”等民主协商机制作用，鼓励社会组织参与小区治理，构建拱墅特色的老旧小区治理模式。</w:t>
      </w:r>
    </w:p>
    <w:p>
      <w:pPr>
        <w:pStyle w:val="2"/>
        <w:adjustRightInd w:val="0"/>
        <w:snapToGrid w:val="0"/>
        <w:spacing w:beforeAutospacing="0" w:afterAutospacing="0"/>
        <w:ind w:firstLine="643" w:firstLineChars="200"/>
        <w:jc w:val="both"/>
        <w:rPr>
          <w:rFonts w:ascii="仿宋_GB2312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2、完善优质公共服务。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</w:rPr>
        <w:t>持续升级15分钟养老、托幼、医疗、教育生活服务圈。完善“阳光老人家”居家养老服务体系，实施“四大工程”、健全“五大体系”，新建站点26个，打造“全域没有围墙的养老院”。启动“阳光小伢儿”婴幼儿照护服务三年行动，健全托育服务管理体系。加快邵逸夫医院大运河分院及庆隆、上塘2家社区卫生服务中心建设，促进优质医疗资源普惠共享。启动新一轮教育集团化建设，推动中小学减负提质。开工学校10所、竣工6所、投用9所。</w:t>
      </w:r>
    </w:p>
    <w:p>
      <w:pPr>
        <w:pStyle w:val="2"/>
        <w:adjustRightInd w:val="0"/>
        <w:snapToGrid w:val="0"/>
        <w:spacing w:beforeAutospacing="0" w:afterAutospacing="0"/>
        <w:ind w:firstLine="643" w:firstLineChars="200"/>
        <w:jc w:val="both"/>
        <w:rPr>
          <w:rFonts w:ascii="仿宋_GB2312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3、筑牢民生保障网络。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</w:rPr>
        <w:t>着力稳就业，出台就业创业新政，打造就创“110”精准服务体系。完善大救助服务机制，实现困难家庭“应保尽保”“应退尽退”。启动社工队伍建设提升行动，加强对社工群体的关心关爱。投用拱墅健康大厦，建成全省领先</w:t>
      </w:r>
      <w:r>
        <w:rPr>
          <w:rFonts w:hint="eastAsia" w:ascii="仿宋_GB2312" w:hAnsi="Times New Roman" w:eastAsia="仿宋_GB2312" w:cs="Times New Roman"/>
          <w:b w:val="0"/>
          <w:bCs w:val="0"/>
          <w:spacing w:val="-4"/>
          <w:kern w:val="2"/>
          <w:sz w:val="32"/>
          <w:szCs w:val="32"/>
        </w:rPr>
        <w:t>的助残服务综合体。持续推进安置房小区生活服务配套三年行动，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</w:rPr>
        <w:t>探索“美好生活加油站”向邻里中心、商品房小区延伸。完成第七次全国人口普查。出台三级服务中心（站）保障规范，全面提高退役军人事务服务水平。</w:t>
      </w:r>
    </w:p>
    <w:p>
      <w:pPr>
        <w:pStyle w:val="2"/>
        <w:adjustRightInd w:val="0"/>
        <w:snapToGrid w:val="0"/>
        <w:spacing w:beforeAutospacing="0" w:afterAutospacing="0"/>
        <w:ind w:firstLine="643" w:firstLineChars="200"/>
        <w:jc w:val="both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4、提升基层治理水平。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</w:rPr>
        <w:t>开展深化基层治理专项行动，不断创新多元共治路径。开展三方协同赛，打造示范型业委会20家以上。扩大电梯综合养老保险覆盖面，全年新增电梯参保1000台，开展物业维修基金参保、按需维保、检验周期延长试点</w:t>
      </w:r>
      <w:r>
        <w:rPr>
          <w:rFonts w:hint="eastAsia" w:ascii="仿宋_GB2312" w:hAnsi="Times New Roman" w:eastAsia="仿宋_GB2312" w:cs="仿宋_GB2312"/>
          <w:b w:val="0"/>
          <w:bCs w:val="0"/>
          <w:kern w:val="2"/>
          <w:sz w:val="32"/>
          <w:szCs w:val="32"/>
        </w:rPr>
        <w:t>工作。深入实施公共法律服务“三名工程”，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</w:rPr>
        <w:t>培育社区矫正帮教驿站，</w:t>
      </w:r>
      <w:r>
        <w:rPr>
          <w:rFonts w:hint="eastAsia" w:ascii="仿宋_GB2312" w:hAnsi="Times New Roman" w:eastAsia="仿宋_GB2312" w:cs="仿宋_GB2312"/>
          <w:b w:val="0"/>
          <w:bCs w:val="0"/>
          <w:kern w:val="2"/>
          <w:sz w:val="32"/>
          <w:szCs w:val="32"/>
        </w:rPr>
        <w:t>实现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</w:rPr>
        <w:t>“</w:t>
      </w:r>
      <w:r>
        <w:rPr>
          <w:rFonts w:hint="eastAsia" w:ascii="仿宋_GB2312" w:hAnsi="Times New Roman" w:eastAsia="仿宋_GB2312" w:cs="仿宋_GB2312"/>
          <w:b w:val="0"/>
          <w:bCs w:val="0"/>
          <w:kern w:val="2"/>
          <w:sz w:val="32"/>
          <w:szCs w:val="32"/>
        </w:rPr>
        <w:t>智慧法援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</w:rPr>
        <w:t>”</w:t>
      </w:r>
      <w:r>
        <w:rPr>
          <w:rFonts w:hint="eastAsia" w:ascii="仿宋_GB2312" w:hAnsi="Times New Roman" w:eastAsia="仿宋_GB2312" w:cs="仿宋_GB2312"/>
          <w:b w:val="0"/>
          <w:bCs w:val="0"/>
          <w:kern w:val="2"/>
          <w:sz w:val="32"/>
          <w:szCs w:val="32"/>
        </w:rPr>
        <w:t>自助服务全域覆盖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</w:rPr>
        <w:t>。完善“大调解”体系，建设区级社会矛盾化解中心，探索“社区代办、部门跑腿”新模式。推动劳动纠纷多元化解与信访超市接轨，完成省级“无欠薪”区创建工作。</w:t>
      </w:r>
    </w:p>
    <w:p>
      <w:pPr>
        <w:pStyle w:val="2"/>
        <w:adjustRightInd w:val="0"/>
        <w:snapToGrid w:val="0"/>
        <w:spacing w:beforeAutospacing="0" w:afterAutospacing="0"/>
        <w:ind w:firstLine="643" w:firstLineChars="200"/>
        <w:jc w:val="both"/>
        <w:rPr>
          <w:rFonts w:ascii="仿宋_GB2312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5、维护公共安全稳定。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</w:rPr>
        <w:t>开展平安创建赛，全面抓好公共安全、安全生产、消防安全、防灾减灾工作，推进国家安全发展示范区建设，争创“最安全城区”。严把食品、药品、特种设备、产品质量安全关，争创省“食品安全区”。</w:t>
      </w:r>
      <w:r>
        <w:rPr>
          <w:rFonts w:hint="eastAsia" w:ascii="仿宋_GB2312" w:hAnsi="Calibri" w:eastAsia="仿宋_GB2312" w:cs="Calibri"/>
          <w:b w:val="0"/>
          <w:bCs w:val="0"/>
          <w:kern w:val="2"/>
          <w:sz w:val="32"/>
          <w:szCs w:val="32"/>
        </w:rPr>
        <w:t>新增“城市眼·云共治”智慧应用场景5个，实现“食安慧眼”覆盖餐饮场所50个、“住安宝”覆盖既有住宅150幢，开展数字治理赛，平台共治处置率提升至90%以上。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</w:rPr>
        <w:t>支持国防和军队建设，做好国防动员、双拥、人民防空、民兵预备役等工作。</w:t>
      </w:r>
    </w:p>
    <w:p>
      <w:pPr>
        <w:pStyle w:val="2"/>
        <w:adjustRightInd w:val="0"/>
        <w:snapToGrid w:val="0"/>
        <w:spacing w:beforeAutospacing="0" w:afterAutospacing="0"/>
        <w:ind w:firstLine="624" w:firstLineChars="200"/>
        <w:jc w:val="both"/>
        <w:rPr>
          <w:rFonts w:ascii="仿宋_GB2312" w:hAnsi="Times New Roman" w:eastAsia="仿宋_GB2312"/>
        </w:rPr>
      </w:pPr>
      <w:r>
        <w:rPr>
          <w:rFonts w:hint="eastAsia" w:ascii="仿宋_GB2312" w:hAnsi="Times New Roman" w:eastAsia="仿宋_GB2312" w:cs="Times New Roman"/>
          <w:b w:val="0"/>
          <w:bCs w:val="0"/>
          <w:spacing w:val="-4"/>
          <w:kern w:val="2"/>
          <w:sz w:val="32"/>
          <w:szCs w:val="32"/>
        </w:rPr>
        <w:t>各位代表，新形势新征程对政府工作提出了更高更严的要求，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</w:rPr>
        <w:t>我们将以刀刃向内的勇气和自我革新的决心狠抓自身建设，以坚定执着的信念和敢于担当的品质来履行职责使命，牢牢把握“四个注重”：</w:t>
      </w:r>
    </w:p>
    <w:p>
      <w:pPr>
        <w:pStyle w:val="2"/>
        <w:adjustRightInd w:val="0"/>
        <w:snapToGrid w:val="0"/>
        <w:spacing w:beforeAutospacing="0" w:afterAutospacing="0"/>
        <w:ind w:firstLine="643" w:firstLineChars="200"/>
        <w:jc w:val="both"/>
        <w:rPr>
          <w:rFonts w:ascii="仿宋_GB2312" w:hAnsi="Times New Roman" w:eastAsia="仿宋_GB231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</w:rPr>
        <w:t>一是注重对标找差，增强思想行动自觉。</w:t>
      </w:r>
      <w:r>
        <w:rPr>
          <w:rFonts w:hint="eastAsia" w:ascii="仿宋_GB2312" w:hAnsi="Times New Roman" w:eastAsia="仿宋_GB2312" w:cs="仿宋_GB2312"/>
          <w:b w:val="0"/>
          <w:bCs w:val="0"/>
          <w:kern w:val="2"/>
          <w:sz w:val="32"/>
          <w:szCs w:val="32"/>
        </w:rPr>
        <w:t>持续深学笃用习近平新时代中国特色社会主义思想，从严从实推动主题教育方法制度化、成果长效化，切实引导政府全体工作人员增强“四个意识”</w:t>
      </w:r>
      <w:r>
        <w:rPr>
          <w:rFonts w:hint="eastAsia" w:ascii="仿宋_GB2312" w:hAnsi="Times New Roman" w:eastAsia="仿宋_GB2312" w:cs="仿宋_GB2312"/>
          <w:b w:val="0"/>
          <w:bCs w:val="0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仿宋_GB2312"/>
          <w:b w:val="0"/>
          <w:bCs w:val="0"/>
          <w:kern w:val="2"/>
          <w:sz w:val="32"/>
          <w:szCs w:val="32"/>
        </w:rPr>
        <w:t>坚定“四个自信”</w:t>
      </w:r>
      <w:r>
        <w:rPr>
          <w:rFonts w:hint="eastAsia" w:ascii="仿宋_GB2312" w:hAnsi="Times New Roman" w:eastAsia="仿宋_GB2312" w:cs="仿宋_GB2312"/>
          <w:b w:val="0"/>
          <w:bCs w:val="0"/>
          <w:kern w:val="2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b w:val="0"/>
          <w:bCs w:val="0"/>
          <w:kern w:val="2"/>
          <w:sz w:val="32"/>
          <w:szCs w:val="32"/>
        </w:rPr>
        <w:t>做到“两个维护”。更加积极地以新思想指导工作实践，更加坚定不移地贯彻习近平总书记系列重要指示精神，更加自觉主动地执行中央和省、市、区委重大决策部署，对标找差、创新实干，狠抓全年各项工作的推进落实。</w:t>
      </w:r>
    </w:p>
    <w:p>
      <w:pPr>
        <w:pStyle w:val="2"/>
        <w:adjustRightInd w:val="0"/>
        <w:snapToGrid w:val="0"/>
        <w:spacing w:beforeAutospacing="0" w:afterAutospacing="0"/>
        <w:ind w:firstLine="643" w:firstLineChars="200"/>
        <w:jc w:val="both"/>
        <w:rPr>
          <w:rFonts w:ascii="仿宋_GB2312" w:hAnsi="Times New Roman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</w:rPr>
        <w:t>二是注重法治理念，提高依法行政水平。</w:t>
      </w:r>
      <w:r>
        <w:rPr>
          <w:rFonts w:hint="eastAsia" w:ascii="仿宋_GB2312" w:hAnsi="Times New Roman" w:eastAsia="仿宋_GB2312" w:cs="仿宋_GB2312"/>
          <w:b w:val="0"/>
          <w:bCs w:val="0"/>
          <w:kern w:val="2"/>
          <w:sz w:val="32"/>
          <w:szCs w:val="32"/>
        </w:rPr>
        <w:t>全面落实基本建成法治政府的各项要求，深化重点领域政务公开、重大行政决策目录化管理，开展执行绩效第三方评估。加强政府规范性文件的合法性审核和管理。常态化组织公职人员旁听行政诉讼庭审，行政机关负责人出庭应诉率提高至95%以上，完成“七五”普法总结验收。</w:t>
      </w:r>
      <w:r>
        <w:rPr>
          <w:rFonts w:hint="eastAsia" w:ascii="仿宋_GB2312" w:hAnsi="Times New Roman" w:eastAsia="仿宋_GB2312" w:cs="仿宋_GB2312"/>
          <w:b w:val="0"/>
          <w:bCs w:val="0"/>
          <w:kern w:val="2"/>
          <w:sz w:val="32"/>
          <w:szCs w:val="32"/>
          <w:lang w:val="zh-CN"/>
        </w:rPr>
        <w:t>自觉接受人大法律监督和政协民主监督，主动接受监察、司法、审计、舆论和社会监督</w:t>
      </w:r>
      <w:r>
        <w:rPr>
          <w:rFonts w:hint="eastAsia" w:ascii="仿宋_GB2312" w:hAnsi="Times New Roman" w:eastAsia="仿宋_GB2312" w:cs="仿宋_GB2312"/>
          <w:b w:val="0"/>
          <w:bCs w:val="0"/>
          <w:kern w:val="2"/>
          <w:sz w:val="32"/>
          <w:szCs w:val="32"/>
        </w:rPr>
        <w:t>。</w:t>
      </w:r>
    </w:p>
    <w:p>
      <w:pPr>
        <w:pStyle w:val="2"/>
        <w:adjustRightInd w:val="0"/>
        <w:snapToGrid w:val="0"/>
        <w:spacing w:beforeAutospacing="0" w:afterAutospacing="0"/>
        <w:ind w:firstLine="643" w:firstLineChars="200"/>
        <w:jc w:val="both"/>
        <w:rPr>
          <w:rFonts w:ascii="仿宋_GB2312" w:hAnsi="Times New Roman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</w:rPr>
        <w:t>三是注重绩效优先，提高政府治理效能。</w:t>
      </w:r>
      <w:r>
        <w:rPr>
          <w:rFonts w:hint="eastAsia" w:ascii="仿宋_GB2312" w:hAnsi="Times New Roman" w:eastAsia="仿宋_GB2312" w:cs="仿宋_GB2312"/>
          <w:b w:val="0"/>
          <w:bCs w:val="0"/>
          <w:kern w:val="2"/>
          <w:sz w:val="32"/>
          <w:szCs w:val="32"/>
        </w:rPr>
        <w:t>坚持政府过“紧日子”，以收定支、优化支出，集中财力办大事。严格执行“钱随事走”，实施政府财政支出中期规划管理，完善街道财政管理体制，构建新型预算绩效管理体系。推动事业单位改革，加快国资国企改革，完善出台国资监管制度。持续推进政府数字化转型，打造数字治理先行区。</w:t>
      </w:r>
    </w:p>
    <w:p>
      <w:pPr>
        <w:pStyle w:val="2"/>
        <w:adjustRightInd w:val="0"/>
        <w:snapToGrid w:val="0"/>
        <w:spacing w:beforeAutospacing="0" w:afterAutospacing="0"/>
        <w:ind w:firstLine="643" w:firstLineChars="200"/>
        <w:jc w:val="both"/>
        <w:rPr>
          <w:rFonts w:ascii="仿宋_GB2312" w:hAnsi="Times New Roman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</w:rPr>
        <w:t>四是注重勤政廉政，营造清朗政治生态。</w:t>
      </w:r>
      <w:r>
        <w:rPr>
          <w:rFonts w:hint="eastAsia" w:ascii="仿宋_GB2312" w:hAnsi="Times New Roman" w:eastAsia="仿宋_GB2312" w:cs="仿宋_GB2312"/>
          <w:b w:val="0"/>
          <w:bCs w:val="0"/>
          <w:kern w:val="2"/>
          <w:sz w:val="32"/>
          <w:szCs w:val="32"/>
        </w:rPr>
        <w:t>压实全面从严治党主体责任，认真履行党风廉政建设“一岗双责”。严格遵循八项规定，持续整治“四风”，打造阳光清廉政府。深入推进机关内部“最多跑一次”改革，完善“321”工作机制，树立不看“痕迹”看实绩的工作导向，切实做到“减负增效”。坚持严管与厚爱相结合，有效运用鼓励激励、容错纠错等机制，为担当者担当、为负责者负责、为干事者撑腰。</w:t>
      </w:r>
    </w:p>
    <w:p>
      <w:pPr>
        <w:pStyle w:val="2"/>
        <w:adjustRightInd w:val="0"/>
        <w:snapToGrid w:val="0"/>
        <w:spacing w:beforeAutospacing="0" w:afterAutospacing="0"/>
        <w:ind w:firstLine="640" w:firstLineChars="200"/>
        <w:jc w:val="both"/>
        <w:rPr>
          <w:rFonts w:ascii="仿宋_GB2312" w:hAnsi="Times New Roman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 w:val="0"/>
          <w:bCs w:val="0"/>
          <w:kern w:val="2"/>
          <w:sz w:val="32"/>
          <w:szCs w:val="32"/>
        </w:rPr>
        <w:t>各位代表，回应民生关切，办好“十件实事”，是区政府长期以来坚持的一项重要制度。今年，我们将继续实行政府民生实事项目人大代表票决制。前期区政府面向群众、“两代表一委员”和街道部门等层面，广泛征集今年民生实事项目的意见建议。经遴选比较，正式形成12件候选项目方案：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</w:rPr>
        <w:t>第一</w:t>
      </w:r>
      <w:r>
        <w:rPr>
          <w:rFonts w:hint="eastAsia" w:ascii="仿宋_GB2312" w:hAnsi="Times New Roman" w:eastAsia="仿宋_GB2312" w:cs="仿宋_GB2312"/>
          <w:b w:val="0"/>
          <w:bCs w:val="0"/>
          <w:kern w:val="2"/>
          <w:sz w:val="32"/>
          <w:szCs w:val="32"/>
        </w:rPr>
        <w:t>，回迁安置项目；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</w:rPr>
        <w:t>第二</w:t>
      </w:r>
      <w:r>
        <w:rPr>
          <w:rFonts w:hint="eastAsia" w:ascii="仿宋_GB2312" w:hAnsi="Times New Roman" w:eastAsia="仿宋_GB2312" w:cs="仿宋_GB2312"/>
          <w:b w:val="0"/>
          <w:bCs w:val="0"/>
          <w:kern w:val="2"/>
          <w:sz w:val="32"/>
          <w:szCs w:val="32"/>
        </w:rPr>
        <w:t>，老旧小区改造项目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第三</w:t>
      </w:r>
      <w:r>
        <w:rPr>
          <w:rFonts w:hint="eastAsia" w:ascii="仿宋_GB2312" w:hAnsi="Times New Roman" w:eastAsia="仿宋_GB2312" w:cs="仿宋_GB2312"/>
          <w:b w:val="0"/>
          <w:bCs w:val="0"/>
          <w:kern w:val="2"/>
          <w:sz w:val="32"/>
          <w:szCs w:val="32"/>
        </w:rPr>
        <w:t>，学校、幼儿园建设项目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第四</w:t>
      </w:r>
      <w:r>
        <w:rPr>
          <w:rFonts w:hint="eastAsia" w:ascii="仿宋_GB2312" w:hAnsi="Times New Roman" w:eastAsia="仿宋_GB2312" w:cs="仿宋_GB2312"/>
          <w:b w:val="0"/>
          <w:bCs w:val="0"/>
          <w:kern w:val="2"/>
          <w:sz w:val="32"/>
          <w:szCs w:val="32"/>
        </w:rPr>
        <w:t>，“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阳光老人家”项目；</w:t>
      </w:r>
      <w:r>
        <w:rPr>
          <w:rFonts w:hint="eastAsia" w:ascii="仿宋_GB2312" w:hAnsi="仿宋_GB2312" w:eastAsia="仿宋_GB2312" w:cs="仿宋_GB2312"/>
          <w:sz w:val="32"/>
          <w:szCs w:val="32"/>
        </w:rPr>
        <w:t>第五</w:t>
      </w:r>
      <w:r>
        <w:rPr>
          <w:rFonts w:hint="eastAsia" w:ascii="仿宋_GB2312" w:hAnsi="Times New Roman" w:eastAsia="仿宋_GB2312" w:cs="仿宋_GB2312"/>
          <w:b w:val="0"/>
          <w:bCs w:val="0"/>
          <w:kern w:val="2"/>
          <w:sz w:val="32"/>
          <w:szCs w:val="32"/>
        </w:rPr>
        <w:t>，深化垃圾分类项目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第六</w:t>
      </w:r>
      <w:r>
        <w:rPr>
          <w:rFonts w:hint="eastAsia" w:ascii="仿宋_GB2312" w:hAnsi="Times New Roman" w:eastAsia="仿宋_GB2312" w:cs="仿宋_GB2312"/>
          <w:b w:val="0"/>
          <w:bCs w:val="0"/>
          <w:kern w:val="2"/>
          <w:sz w:val="32"/>
          <w:szCs w:val="32"/>
        </w:rPr>
        <w:t>，“阳光小伢儿”婴幼儿照护服务项目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第七</w:t>
      </w:r>
      <w:r>
        <w:rPr>
          <w:rFonts w:hint="eastAsia" w:ascii="仿宋_GB2312" w:hAnsi="Times New Roman" w:eastAsia="仿宋_GB2312" w:cs="仿宋_GB2312"/>
          <w:b w:val="0"/>
          <w:bCs w:val="0"/>
          <w:kern w:val="2"/>
          <w:sz w:val="32"/>
          <w:szCs w:val="32"/>
        </w:rPr>
        <w:t>，特色美食街区创建项目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第八</w:t>
      </w:r>
      <w:r>
        <w:rPr>
          <w:rFonts w:hint="eastAsia" w:ascii="仿宋_GB2312" w:hAnsi="Times New Roman" w:eastAsia="仿宋_GB2312" w:cs="仿宋_GB2312"/>
          <w:b w:val="0"/>
          <w:bCs w:val="0"/>
          <w:kern w:val="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“</w:t>
      </w:r>
      <w:r>
        <w:rPr>
          <w:rFonts w:hint="eastAsia" w:ascii="仿宋_GB2312" w:hAnsi="Times New Roman" w:eastAsia="仿宋_GB2312" w:cs="仿宋_GB2312"/>
          <w:b w:val="0"/>
          <w:bCs w:val="0"/>
          <w:kern w:val="2"/>
          <w:sz w:val="32"/>
          <w:szCs w:val="32"/>
        </w:rPr>
        <w:t>雪亮工程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”</w:t>
      </w:r>
      <w:r>
        <w:rPr>
          <w:rFonts w:hint="eastAsia" w:ascii="仿宋_GB2312" w:hAnsi="Times New Roman" w:eastAsia="仿宋_GB2312" w:cs="仿宋_GB2312"/>
          <w:b w:val="0"/>
          <w:bCs w:val="0"/>
          <w:kern w:val="2"/>
          <w:sz w:val="32"/>
          <w:szCs w:val="32"/>
        </w:rPr>
        <w:t>项目；</w:t>
      </w:r>
      <w:r>
        <w:rPr>
          <w:rFonts w:hint="eastAsia" w:ascii="仿宋_GB2312" w:hAnsi="仿宋_GB2312" w:eastAsia="仿宋_GB2312" w:cs="仿宋_GB2312"/>
          <w:sz w:val="32"/>
          <w:szCs w:val="32"/>
        </w:rPr>
        <w:t>第九</w:t>
      </w:r>
      <w:r>
        <w:rPr>
          <w:rFonts w:hint="eastAsia" w:ascii="仿宋_GB2312" w:hAnsi="Times New Roman" w:eastAsia="仿宋_GB2312" w:cs="仿宋_GB2312"/>
          <w:b w:val="0"/>
          <w:bCs w:val="0"/>
          <w:kern w:val="2"/>
          <w:sz w:val="32"/>
          <w:szCs w:val="32"/>
        </w:rPr>
        <w:t>，“放心菜篮子”项目；</w:t>
      </w:r>
      <w:r>
        <w:rPr>
          <w:rFonts w:hint="eastAsia" w:ascii="仿宋_GB2312" w:hAnsi="仿宋_GB2312" w:eastAsia="仿宋_GB2312" w:cs="仿宋_GB2312"/>
          <w:sz w:val="32"/>
          <w:szCs w:val="32"/>
        </w:rPr>
        <w:t>第十</w:t>
      </w:r>
      <w:r>
        <w:rPr>
          <w:rFonts w:hint="eastAsia" w:ascii="仿宋_GB2312" w:hAnsi="Times New Roman" w:eastAsia="仿宋_GB2312" w:cs="仿宋_GB2312"/>
          <w:b w:val="0"/>
          <w:bCs w:val="0"/>
          <w:kern w:val="2"/>
          <w:sz w:val="32"/>
          <w:szCs w:val="32"/>
        </w:rPr>
        <w:t>，就业创业覆盖率提升项目；</w:t>
      </w:r>
      <w:r>
        <w:rPr>
          <w:rFonts w:hint="eastAsia" w:ascii="仿宋_GB2312" w:hAnsi="仿宋_GB2312" w:eastAsia="仿宋_GB2312" w:cs="仿宋_GB2312"/>
          <w:sz w:val="32"/>
          <w:szCs w:val="32"/>
        </w:rPr>
        <w:t>第十一</w:t>
      </w:r>
      <w:r>
        <w:rPr>
          <w:rFonts w:hint="eastAsia" w:ascii="仿宋_GB2312" w:hAnsi="Times New Roman" w:eastAsia="仿宋_GB2312" w:cs="仿宋_GB2312"/>
          <w:b w:val="0"/>
          <w:bCs w:val="0"/>
          <w:kern w:val="2"/>
          <w:sz w:val="32"/>
          <w:szCs w:val="32"/>
        </w:rPr>
        <w:t>，道路建设项目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；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</w:rPr>
        <w:t>第十二</w:t>
      </w:r>
      <w:r>
        <w:rPr>
          <w:rFonts w:hint="eastAsia" w:ascii="仿宋_GB2312" w:hAnsi="Times New Roman" w:eastAsia="仿宋_GB2312" w:cs="仿宋_GB2312"/>
          <w:b w:val="0"/>
          <w:bCs w:val="0"/>
          <w:kern w:val="2"/>
          <w:sz w:val="32"/>
          <w:szCs w:val="32"/>
        </w:rPr>
        <w:t>，医疗设施提升项目。会前，《关于2020年区政府民生实事候选项目形成情况的报告》已通过书面材料的形式发给大家，根据大会安排将在第三次全体会议上进行票决。对区人大代表票选确定的10件民生实事项目，区政府将加强组织领导，强化统筹协同，认真分解落实，严格督查考评，并接受区人大代表监督检查，确保实事办好、好事办实。其余2件项目也将纳入政府年度任务抓好落实。</w:t>
      </w:r>
    </w:p>
    <w:p>
      <w:pPr>
        <w:pStyle w:val="2"/>
        <w:adjustRightInd w:val="0"/>
        <w:snapToGrid w:val="0"/>
        <w:spacing w:beforeAutospacing="0" w:afterAutospacing="0"/>
        <w:ind w:firstLine="640" w:firstLineChars="200"/>
        <w:jc w:val="both"/>
        <w:rPr>
          <w:rFonts w:ascii="仿宋_GB2312" w:hAnsi="Times New Roman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 w:val="0"/>
          <w:bCs w:val="0"/>
          <w:kern w:val="2"/>
          <w:sz w:val="32"/>
          <w:szCs w:val="32"/>
        </w:rPr>
        <w:t>今年，我们还要科学编制“十四五”规划，围绕未来五年社会经济高质量发展，聚共识、集众智，聚焦创新驱动、产业竞争力、城市空间布局、区域治理体系等重大问题，落实推进新一批重大改革、重大项目、重大平台、重大政策，编制符合拱墅实际、引领未来发展、经得起历史检验的战略蓝图，以排头兵的姿态开启大城北崛起新征程。</w:t>
      </w:r>
    </w:p>
    <w:p>
      <w:pPr>
        <w:pStyle w:val="2"/>
        <w:adjustRightInd w:val="0"/>
        <w:snapToGrid w:val="0"/>
        <w:spacing w:beforeAutospacing="0" w:afterAutospacing="0"/>
        <w:ind w:firstLine="640" w:firstLineChars="200"/>
        <w:jc w:val="both"/>
        <w:rPr>
          <w:rFonts w:hint="eastAsia" w:ascii="仿宋_GB2312" w:hAnsi="Times New Roman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 w:val="0"/>
          <w:bCs w:val="0"/>
          <w:kern w:val="2"/>
          <w:sz w:val="32"/>
          <w:szCs w:val="32"/>
        </w:rPr>
        <w:t>各位代表，新时代是奋斗者的时代，幸福都是奋斗出来的！让我们更紧密地团结在以习近平同志为核心的党中央周围，在省市和区委的坚强领导下，不忘初心、牢记使命，凝心聚力、务实笃行，为决胜高水平全面建成小康社会作出应有的贡献！</w:t>
      </w:r>
    </w:p>
    <w:p>
      <w:pPr>
        <w:rPr>
          <w:rFonts w:hint="eastAsia" w:eastAsia="仿宋_GB2312"/>
          <w:lang w:eastAsia="zh-CN"/>
        </w:rPr>
      </w:pPr>
      <w:r>
        <w:rPr>
          <w:rFonts w:hint="eastAsia" w:ascii="仿宋_GB2312" w:hAnsi="Times New Roman" w:cs="仿宋_GB2312"/>
          <w:b w:val="0"/>
          <w:bCs w:val="0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Times New Roman" w:cs="仿宋_GB2312"/>
          <w:b w:val="0"/>
          <w:bCs w:val="0"/>
          <w:kern w:val="2"/>
          <w:sz w:val="32"/>
          <w:szCs w:val="32"/>
          <w:lang w:val="en-US" w:eastAsia="zh-CN"/>
        </w:rPr>
        <w:t>本文有删减</w:t>
      </w:r>
      <w:r>
        <w:rPr>
          <w:rFonts w:hint="eastAsia" w:ascii="仿宋_GB2312" w:hAnsi="Times New Roman" w:cs="仿宋_GB2312"/>
          <w:b w:val="0"/>
          <w:bCs w:val="0"/>
          <w:kern w:val="2"/>
          <w:sz w:val="32"/>
          <w:szCs w:val="32"/>
          <w:lang w:eastAsia="zh-CN"/>
        </w:rPr>
        <w:t>）</w:t>
      </w:r>
    </w:p>
    <w:sectPr>
      <w:footerReference r:id="rId5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  <w:t>- 21 -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Q2MDAyNGE2Mzg1M2EzODVkYzhkMzdkNDY2MWM5ZTYifQ=="/>
  </w:docVars>
  <w:rsids>
    <w:rsidRoot w:val="00F5511D"/>
    <w:rsid w:val="00011425"/>
    <w:rsid w:val="00015B0E"/>
    <w:rsid w:val="00016E35"/>
    <w:rsid w:val="00017EBE"/>
    <w:rsid w:val="00020E51"/>
    <w:rsid w:val="000257C8"/>
    <w:rsid w:val="000273BC"/>
    <w:rsid w:val="00034EE4"/>
    <w:rsid w:val="00035A1E"/>
    <w:rsid w:val="00035E6B"/>
    <w:rsid w:val="00041E70"/>
    <w:rsid w:val="00050A0D"/>
    <w:rsid w:val="0005425F"/>
    <w:rsid w:val="00057305"/>
    <w:rsid w:val="00071567"/>
    <w:rsid w:val="00080CBF"/>
    <w:rsid w:val="000815F2"/>
    <w:rsid w:val="000A0743"/>
    <w:rsid w:val="000A2201"/>
    <w:rsid w:val="000A5327"/>
    <w:rsid w:val="000A7333"/>
    <w:rsid w:val="000B776A"/>
    <w:rsid w:val="000F2285"/>
    <w:rsid w:val="001152D7"/>
    <w:rsid w:val="00121050"/>
    <w:rsid w:val="00135124"/>
    <w:rsid w:val="0015623C"/>
    <w:rsid w:val="0019625D"/>
    <w:rsid w:val="001A51DB"/>
    <w:rsid w:val="001B05CB"/>
    <w:rsid w:val="001C0386"/>
    <w:rsid w:val="001C1285"/>
    <w:rsid w:val="001D4E0B"/>
    <w:rsid w:val="001D6F73"/>
    <w:rsid w:val="001F1D6E"/>
    <w:rsid w:val="001F3737"/>
    <w:rsid w:val="00202B02"/>
    <w:rsid w:val="00203C5D"/>
    <w:rsid w:val="0024314F"/>
    <w:rsid w:val="002619EC"/>
    <w:rsid w:val="002651C0"/>
    <w:rsid w:val="002B706E"/>
    <w:rsid w:val="002C3A4C"/>
    <w:rsid w:val="002D034C"/>
    <w:rsid w:val="002D472C"/>
    <w:rsid w:val="002E3DDE"/>
    <w:rsid w:val="002F3890"/>
    <w:rsid w:val="00304B67"/>
    <w:rsid w:val="00311A04"/>
    <w:rsid w:val="00323738"/>
    <w:rsid w:val="00327B00"/>
    <w:rsid w:val="0033038C"/>
    <w:rsid w:val="003332ED"/>
    <w:rsid w:val="00371173"/>
    <w:rsid w:val="00375792"/>
    <w:rsid w:val="003778B9"/>
    <w:rsid w:val="00393EC5"/>
    <w:rsid w:val="003B69DC"/>
    <w:rsid w:val="003B7FBA"/>
    <w:rsid w:val="003D1665"/>
    <w:rsid w:val="003D6E10"/>
    <w:rsid w:val="003E1D0E"/>
    <w:rsid w:val="003E2482"/>
    <w:rsid w:val="00406558"/>
    <w:rsid w:val="00422B9A"/>
    <w:rsid w:val="00425ED9"/>
    <w:rsid w:val="0046247F"/>
    <w:rsid w:val="00462D61"/>
    <w:rsid w:val="00477CE5"/>
    <w:rsid w:val="004846DC"/>
    <w:rsid w:val="00497A07"/>
    <w:rsid w:val="004C4BD1"/>
    <w:rsid w:val="004D4FB1"/>
    <w:rsid w:val="004E26C2"/>
    <w:rsid w:val="004E3BAC"/>
    <w:rsid w:val="00516D10"/>
    <w:rsid w:val="00527CC2"/>
    <w:rsid w:val="00531979"/>
    <w:rsid w:val="00532AAE"/>
    <w:rsid w:val="00533633"/>
    <w:rsid w:val="00543AF0"/>
    <w:rsid w:val="00567D69"/>
    <w:rsid w:val="005815CC"/>
    <w:rsid w:val="005848EF"/>
    <w:rsid w:val="005B2F09"/>
    <w:rsid w:val="005B5720"/>
    <w:rsid w:val="005B59A2"/>
    <w:rsid w:val="005C06EA"/>
    <w:rsid w:val="005C29C5"/>
    <w:rsid w:val="005C6FD4"/>
    <w:rsid w:val="005D0DA7"/>
    <w:rsid w:val="005F3D56"/>
    <w:rsid w:val="00606349"/>
    <w:rsid w:val="00610CAC"/>
    <w:rsid w:val="00612192"/>
    <w:rsid w:val="006133AA"/>
    <w:rsid w:val="00623FE7"/>
    <w:rsid w:val="006270B7"/>
    <w:rsid w:val="00636938"/>
    <w:rsid w:val="00654B41"/>
    <w:rsid w:val="0066057F"/>
    <w:rsid w:val="00664BFC"/>
    <w:rsid w:val="00667A9A"/>
    <w:rsid w:val="00671B64"/>
    <w:rsid w:val="00676764"/>
    <w:rsid w:val="006A0116"/>
    <w:rsid w:val="006A70C3"/>
    <w:rsid w:val="006B70F3"/>
    <w:rsid w:val="006C12DA"/>
    <w:rsid w:val="006C3F9D"/>
    <w:rsid w:val="006C5A59"/>
    <w:rsid w:val="006D4EBF"/>
    <w:rsid w:val="006E172B"/>
    <w:rsid w:val="006E1934"/>
    <w:rsid w:val="006F31F3"/>
    <w:rsid w:val="007007C3"/>
    <w:rsid w:val="00717024"/>
    <w:rsid w:val="00725346"/>
    <w:rsid w:val="007309E4"/>
    <w:rsid w:val="007444D2"/>
    <w:rsid w:val="00754752"/>
    <w:rsid w:val="00755FC5"/>
    <w:rsid w:val="0078436A"/>
    <w:rsid w:val="007924EA"/>
    <w:rsid w:val="007B0CA7"/>
    <w:rsid w:val="007B2773"/>
    <w:rsid w:val="007C4955"/>
    <w:rsid w:val="007F5604"/>
    <w:rsid w:val="00812FC0"/>
    <w:rsid w:val="00813B78"/>
    <w:rsid w:val="00816D2B"/>
    <w:rsid w:val="00822F94"/>
    <w:rsid w:val="00824C00"/>
    <w:rsid w:val="008262D1"/>
    <w:rsid w:val="0083481A"/>
    <w:rsid w:val="00840354"/>
    <w:rsid w:val="00845E17"/>
    <w:rsid w:val="00877AE0"/>
    <w:rsid w:val="00890D86"/>
    <w:rsid w:val="00893320"/>
    <w:rsid w:val="008A43EB"/>
    <w:rsid w:val="008A60A8"/>
    <w:rsid w:val="008C26E9"/>
    <w:rsid w:val="008C5343"/>
    <w:rsid w:val="008C59DC"/>
    <w:rsid w:val="008D7B52"/>
    <w:rsid w:val="008F4880"/>
    <w:rsid w:val="00906538"/>
    <w:rsid w:val="00924FBD"/>
    <w:rsid w:val="009531FA"/>
    <w:rsid w:val="00957D18"/>
    <w:rsid w:val="0096466E"/>
    <w:rsid w:val="009815CC"/>
    <w:rsid w:val="009A4582"/>
    <w:rsid w:val="009B7820"/>
    <w:rsid w:val="009F3476"/>
    <w:rsid w:val="00A04904"/>
    <w:rsid w:val="00A12E13"/>
    <w:rsid w:val="00A30ED7"/>
    <w:rsid w:val="00A35865"/>
    <w:rsid w:val="00A41394"/>
    <w:rsid w:val="00A43729"/>
    <w:rsid w:val="00A45DC1"/>
    <w:rsid w:val="00A51BDF"/>
    <w:rsid w:val="00A60CF1"/>
    <w:rsid w:val="00A61BBA"/>
    <w:rsid w:val="00A627B7"/>
    <w:rsid w:val="00A76272"/>
    <w:rsid w:val="00AA7875"/>
    <w:rsid w:val="00AB3B63"/>
    <w:rsid w:val="00AE6382"/>
    <w:rsid w:val="00AF5F4D"/>
    <w:rsid w:val="00B00DBF"/>
    <w:rsid w:val="00B03A6A"/>
    <w:rsid w:val="00B336BE"/>
    <w:rsid w:val="00B50CBE"/>
    <w:rsid w:val="00B5249B"/>
    <w:rsid w:val="00B73F43"/>
    <w:rsid w:val="00BA00B8"/>
    <w:rsid w:val="00BB7370"/>
    <w:rsid w:val="00BD41A7"/>
    <w:rsid w:val="00BE5099"/>
    <w:rsid w:val="00BF57BC"/>
    <w:rsid w:val="00C00421"/>
    <w:rsid w:val="00C1679B"/>
    <w:rsid w:val="00C22616"/>
    <w:rsid w:val="00C24B68"/>
    <w:rsid w:val="00C26087"/>
    <w:rsid w:val="00C26E5A"/>
    <w:rsid w:val="00C45A41"/>
    <w:rsid w:val="00C474EA"/>
    <w:rsid w:val="00C47C94"/>
    <w:rsid w:val="00C62BA6"/>
    <w:rsid w:val="00C93067"/>
    <w:rsid w:val="00CA74F1"/>
    <w:rsid w:val="00CC1309"/>
    <w:rsid w:val="00CE7426"/>
    <w:rsid w:val="00D027C5"/>
    <w:rsid w:val="00D029FE"/>
    <w:rsid w:val="00D07CAF"/>
    <w:rsid w:val="00D17CBD"/>
    <w:rsid w:val="00D40359"/>
    <w:rsid w:val="00D44EF1"/>
    <w:rsid w:val="00D50270"/>
    <w:rsid w:val="00D578FD"/>
    <w:rsid w:val="00D7214F"/>
    <w:rsid w:val="00D778D7"/>
    <w:rsid w:val="00D956C4"/>
    <w:rsid w:val="00DA4370"/>
    <w:rsid w:val="00DB0A05"/>
    <w:rsid w:val="00DB1F98"/>
    <w:rsid w:val="00DD20CF"/>
    <w:rsid w:val="00DE0728"/>
    <w:rsid w:val="00DE564C"/>
    <w:rsid w:val="00DE5F47"/>
    <w:rsid w:val="00DF0CFA"/>
    <w:rsid w:val="00DF1DC1"/>
    <w:rsid w:val="00E0655A"/>
    <w:rsid w:val="00E43C42"/>
    <w:rsid w:val="00E44778"/>
    <w:rsid w:val="00E47BC5"/>
    <w:rsid w:val="00E8061E"/>
    <w:rsid w:val="00E82744"/>
    <w:rsid w:val="00E879FB"/>
    <w:rsid w:val="00EA0267"/>
    <w:rsid w:val="00EB1BE4"/>
    <w:rsid w:val="00EC2B5C"/>
    <w:rsid w:val="00ED5212"/>
    <w:rsid w:val="00ED5872"/>
    <w:rsid w:val="00F149B3"/>
    <w:rsid w:val="00F2262F"/>
    <w:rsid w:val="00F376A5"/>
    <w:rsid w:val="00F4456B"/>
    <w:rsid w:val="00F5511D"/>
    <w:rsid w:val="00F55B51"/>
    <w:rsid w:val="00F713C1"/>
    <w:rsid w:val="00F861E7"/>
    <w:rsid w:val="00F93AC2"/>
    <w:rsid w:val="00FC1B58"/>
    <w:rsid w:val="00FC6E26"/>
    <w:rsid w:val="00FD33F5"/>
    <w:rsid w:val="00FD6F0D"/>
    <w:rsid w:val="00FD7490"/>
    <w:rsid w:val="00FE2A26"/>
    <w:rsid w:val="00FF2A3A"/>
    <w:rsid w:val="010B48C1"/>
    <w:rsid w:val="0112460A"/>
    <w:rsid w:val="0117306B"/>
    <w:rsid w:val="01261565"/>
    <w:rsid w:val="01313E62"/>
    <w:rsid w:val="01444B04"/>
    <w:rsid w:val="015245A2"/>
    <w:rsid w:val="016B7D26"/>
    <w:rsid w:val="016C03B3"/>
    <w:rsid w:val="016E6BE1"/>
    <w:rsid w:val="019B5E3C"/>
    <w:rsid w:val="01D006EC"/>
    <w:rsid w:val="01DE5FBC"/>
    <w:rsid w:val="01F74C23"/>
    <w:rsid w:val="01FB2FD2"/>
    <w:rsid w:val="020326EC"/>
    <w:rsid w:val="021750BB"/>
    <w:rsid w:val="02591F41"/>
    <w:rsid w:val="027473C7"/>
    <w:rsid w:val="02DB3618"/>
    <w:rsid w:val="02DC53DC"/>
    <w:rsid w:val="032A6802"/>
    <w:rsid w:val="03414C6C"/>
    <w:rsid w:val="03833CB3"/>
    <w:rsid w:val="03A93B10"/>
    <w:rsid w:val="03AC3A55"/>
    <w:rsid w:val="040E1947"/>
    <w:rsid w:val="041A5C40"/>
    <w:rsid w:val="041C429F"/>
    <w:rsid w:val="042144A9"/>
    <w:rsid w:val="043F580B"/>
    <w:rsid w:val="046423FC"/>
    <w:rsid w:val="046F20E8"/>
    <w:rsid w:val="0474275B"/>
    <w:rsid w:val="0478297E"/>
    <w:rsid w:val="0494314A"/>
    <w:rsid w:val="049B77CC"/>
    <w:rsid w:val="049C0C28"/>
    <w:rsid w:val="05221C4A"/>
    <w:rsid w:val="054573DF"/>
    <w:rsid w:val="05673BD1"/>
    <w:rsid w:val="05750E98"/>
    <w:rsid w:val="0581783F"/>
    <w:rsid w:val="05966323"/>
    <w:rsid w:val="05B877D7"/>
    <w:rsid w:val="05C908AD"/>
    <w:rsid w:val="05E02EF6"/>
    <w:rsid w:val="05EF1E02"/>
    <w:rsid w:val="05FE0CDB"/>
    <w:rsid w:val="060F6B33"/>
    <w:rsid w:val="064F432B"/>
    <w:rsid w:val="065B7B17"/>
    <w:rsid w:val="066425CE"/>
    <w:rsid w:val="06D56EB8"/>
    <w:rsid w:val="06DC31D6"/>
    <w:rsid w:val="073A095F"/>
    <w:rsid w:val="078F363A"/>
    <w:rsid w:val="07902C63"/>
    <w:rsid w:val="07AD4898"/>
    <w:rsid w:val="07E01B8E"/>
    <w:rsid w:val="07F6141E"/>
    <w:rsid w:val="08094BA8"/>
    <w:rsid w:val="08297941"/>
    <w:rsid w:val="083516C1"/>
    <w:rsid w:val="088C501C"/>
    <w:rsid w:val="08A16821"/>
    <w:rsid w:val="08C17FAD"/>
    <w:rsid w:val="08CD602A"/>
    <w:rsid w:val="08E76FC0"/>
    <w:rsid w:val="093513EF"/>
    <w:rsid w:val="093729A9"/>
    <w:rsid w:val="094A398D"/>
    <w:rsid w:val="094B2062"/>
    <w:rsid w:val="0A080A86"/>
    <w:rsid w:val="0A342E6E"/>
    <w:rsid w:val="0AA00D25"/>
    <w:rsid w:val="0ABF6FDE"/>
    <w:rsid w:val="0ADD2E8F"/>
    <w:rsid w:val="0AFB02FB"/>
    <w:rsid w:val="0AFB42DB"/>
    <w:rsid w:val="0B19621A"/>
    <w:rsid w:val="0B2C55A0"/>
    <w:rsid w:val="0B474A58"/>
    <w:rsid w:val="0B4E0B20"/>
    <w:rsid w:val="0B547073"/>
    <w:rsid w:val="0B663201"/>
    <w:rsid w:val="0B6C5DE8"/>
    <w:rsid w:val="0B7F2AD6"/>
    <w:rsid w:val="0B841FA3"/>
    <w:rsid w:val="0B9115B1"/>
    <w:rsid w:val="0BC71ADD"/>
    <w:rsid w:val="0BCF0D59"/>
    <w:rsid w:val="0C077D77"/>
    <w:rsid w:val="0C117B41"/>
    <w:rsid w:val="0C214C22"/>
    <w:rsid w:val="0C330C6B"/>
    <w:rsid w:val="0C353B57"/>
    <w:rsid w:val="0C4B02C1"/>
    <w:rsid w:val="0C761850"/>
    <w:rsid w:val="0C8A6127"/>
    <w:rsid w:val="0CE37456"/>
    <w:rsid w:val="0CEF1DCC"/>
    <w:rsid w:val="0CFE46CD"/>
    <w:rsid w:val="0D3848EB"/>
    <w:rsid w:val="0D505880"/>
    <w:rsid w:val="0D71165B"/>
    <w:rsid w:val="0D936DE0"/>
    <w:rsid w:val="0D975339"/>
    <w:rsid w:val="0DB76296"/>
    <w:rsid w:val="0DCF7072"/>
    <w:rsid w:val="0DD323BC"/>
    <w:rsid w:val="0DE2493A"/>
    <w:rsid w:val="0DE52178"/>
    <w:rsid w:val="0E32004D"/>
    <w:rsid w:val="0E3A075D"/>
    <w:rsid w:val="0E5B001E"/>
    <w:rsid w:val="0E5F7B9B"/>
    <w:rsid w:val="0E6E4FD5"/>
    <w:rsid w:val="0EDA2E4A"/>
    <w:rsid w:val="0F013E25"/>
    <w:rsid w:val="0F467668"/>
    <w:rsid w:val="0F6356D6"/>
    <w:rsid w:val="0FA75B8C"/>
    <w:rsid w:val="0FA80BE9"/>
    <w:rsid w:val="0FE30EF4"/>
    <w:rsid w:val="100E3C1A"/>
    <w:rsid w:val="101D2E42"/>
    <w:rsid w:val="101F69A5"/>
    <w:rsid w:val="10965A27"/>
    <w:rsid w:val="10BB344C"/>
    <w:rsid w:val="10D015C9"/>
    <w:rsid w:val="10E444BD"/>
    <w:rsid w:val="11744D44"/>
    <w:rsid w:val="117E4FAE"/>
    <w:rsid w:val="11852691"/>
    <w:rsid w:val="118A3892"/>
    <w:rsid w:val="11993A4F"/>
    <w:rsid w:val="11D35443"/>
    <w:rsid w:val="12055010"/>
    <w:rsid w:val="121A1647"/>
    <w:rsid w:val="122D68CC"/>
    <w:rsid w:val="123B09E6"/>
    <w:rsid w:val="124F6236"/>
    <w:rsid w:val="12622EE2"/>
    <w:rsid w:val="12665317"/>
    <w:rsid w:val="12806F81"/>
    <w:rsid w:val="12904C31"/>
    <w:rsid w:val="12A149D1"/>
    <w:rsid w:val="12A24425"/>
    <w:rsid w:val="12DC1955"/>
    <w:rsid w:val="12E31DAF"/>
    <w:rsid w:val="12F714CB"/>
    <w:rsid w:val="13104F3E"/>
    <w:rsid w:val="13196F21"/>
    <w:rsid w:val="13431641"/>
    <w:rsid w:val="13477A04"/>
    <w:rsid w:val="13571B09"/>
    <w:rsid w:val="136C5B9E"/>
    <w:rsid w:val="136F6DFD"/>
    <w:rsid w:val="13850B99"/>
    <w:rsid w:val="13863817"/>
    <w:rsid w:val="140618AC"/>
    <w:rsid w:val="14077C06"/>
    <w:rsid w:val="145D0F41"/>
    <w:rsid w:val="1498433E"/>
    <w:rsid w:val="14A20EBC"/>
    <w:rsid w:val="14E16C23"/>
    <w:rsid w:val="14FA08B2"/>
    <w:rsid w:val="150B3E26"/>
    <w:rsid w:val="15D34CC0"/>
    <w:rsid w:val="15DA2051"/>
    <w:rsid w:val="15FD5986"/>
    <w:rsid w:val="161027EA"/>
    <w:rsid w:val="16681F81"/>
    <w:rsid w:val="167D0883"/>
    <w:rsid w:val="175901E7"/>
    <w:rsid w:val="17694E65"/>
    <w:rsid w:val="176A03BF"/>
    <w:rsid w:val="176C61F4"/>
    <w:rsid w:val="177A4554"/>
    <w:rsid w:val="178B14DA"/>
    <w:rsid w:val="179558B5"/>
    <w:rsid w:val="17E12A22"/>
    <w:rsid w:val="17F23C3F"/>
    <w:rsid w:val="184158F2"/>
    <w:rsid w:val="185473D6"/>
    <w:rsid w:val="185521D5"/>
    <w:rsid w:val="185D1187"/>
    <w:rsid w:val="187242C5"/>
    <w:rsid w:val="187D1F29"/>
    <w:rsid w:val="18D07490"/>
    <w:rsid w:val="18E557D1"/>
    <w:rsid w:val="18E7461D"/>
    <w:rsid w:val="18F85F69"/>
    <w:rsid w:val="194111FF"/>
    <w:rsid w:val="19423222"/>
    <w:rsid w:val="1945522A"/>
    <w:rsid w:val="19455F07"/>
    <w:rsid w:val="197922DA"/>
    <w:rsid w:val="198F7142"/>
    <w:rsid w:val="19A5201E"/>
    <w:rsid w:val="19BC26DC"/>
    <w:rsid w:val="19DC6342"/>
    <w:rsid w:val="19E66EF9"/>
    <w:rsid w:val="1A0128B6"/>
    <w:rsid w:val="1A122DC9"/>
    <w:rsid w:val="1A1D40AD"/>
    <w:rsid w:val="1A2A0CD1"/>
    <w:rsid w:val="1A3C58AE"/>
    <w:rsid w:val="1A5156BB"/>
    <w:rsid w:val="1A6639B4"/>
    <w:rsid w:val="1A713F81"/>
    <w:rsid w:val="1A7D7912"/>
    <w:rsid w:val="1A970EF3"/>
    <w:rsid w:val="1AB3558C"/>
    <w:rsid w:val="1AC364B5"/>
    <w:rsid w:val="1B405074"/>
    <w:rsid w:val="1B8804B4"/>
    <w:rsid w:val="1B9369C4"/>
    <w:rsid w:val="1BD21F25"/>
    <w:rsid w:val="1BDA0CC9"/>
    <w:rsid w:val="1BE83CD2"/>
    <w:rsid w:val="1BEF17D4"/>
    <w:rsid w:val="1C1112B0"/>
    <w:rsid w:val="1C3C6903"/>
    <w:rsid w:val="1C3D6A0E"/>
    <w:rsid w:val="1C5F63B5"/>
    <w:rsid w:val="1CB67D9B"/>
    <w:rsid w:val="1D1A720C"/>
    <w:rsid w:val="1D3342C1"/>
    <w:rsid w:val="1D4F3871"/>
    <w:rsid w:val="1D7D3653"/>
    <w:rsid w:val="1D8F5FA0"/>
    <w:rsid w:val="1DAC6C20"/>
    <w:rsid w:val="1DB76749"/>
    <w:rsid w:val="1DBB64A5"/>
    <w:rsid w:val="1DCC6301"/>
    <w:rsid w:val="1DD32BB4"/>
    <w:rsid w:val="1E0F1A76"/>
    <w:rsid w:val="1E1210DC"/>
    <w:rsid w:val="1E283C56"/>
    <w:rsid w:val="1E4315DC"/>
    <w:rsid w:val="1E535D64"/>
    <w:rsid w:val="1E606702"/>
    <w:rsid w:val="1E917376"/>
    <w:rsid w:val="1EB45FEE"/>
    <w:rsid w:val="1EBA483F"/>
    <w:rsid w:val="1EC450D5"/>
    <w:rsid w:val="1EDA5FDC"/>
    <w:rsid w:val="1F0B5FFF"/>
    <w:rsid w:val="1FA06543"/>
    <w:rsid w:val="1FA77594"/>
    <w:rsid w:val="1FC84AC5"/>
    <w:rsid w:val="1FD02AA4"/>
    <w:rsid w:val="20083A4E"/>
    <w:rsid w:val="201325F3"/>
    <w:rsid w:val="202A324F"/>
    <w:rsid w:val="2030002C"/>
    <w:rsid w:val="20427379"/>
    <w:rsid w:val="20BC490E"/>
    <w:rsid w:val="20DE29C9"/>
    <w:rsid w:val="21332CB7"/>
    <w:rsid w:val="216A22E9"/>
    <w:rsid w:val="217E2BF8"/>
    <w:rsid w:val="218F151E"/>
    <w:rsid w:val="2243420D"/>
    <w:rsid w:val="224B2AD1"/>
    <w:rsid w:val="2265080E"/>
    <w:rsid w:val="22987D8D"/>
    <w:rsid w:val="22A7158A"/>
    <w:rsid w:val="22AD0EC5"/>
    <w:rsid w:val="22BF1006"/>
    <w:rsid w:val="22DA6ADC"/>
    <w:rsid w:val="22DB1D76"/>
    <w:rsid w:val="23061E5C"/>
    <w:rsid w:val="23085BEC"/>
    <w:rsid w:val="230E3247"/>
    <w:rsid w:val="23321FB7"/>
    <w:rsid w:val="234413CC"/>
    <w:rsid w:val="238F2832"/>
    <w:rsid w:val="2392036D"/>
    <w:rsid w:val="23BD2EB6"/>
    <w:rsid w:val="23CD27AF"/>
    <w:rsid w:val="23E31053"/>
    <w:rsid w:val="23FF3613"/>
    <w:rsid w:val="241B20B9"/>
    <w:rsid w:val="24336D93"/>
    <w:rsid w:val="246F3477"/>
    <w:rsid w:val="24A33413"/>
    <w:rsid w:val="24D40D20"/>
    <w:rsid w:val="24DF7F6A"/>
    <w:rsid w:val="252B0121"/>
    <w:rsid w:val="25614AD5"/>
    <w:rsid w:val="25B37776"/>
    <w:rsid w:val="25D0284E"/>
    <w:rsid w:val="25FD11D4"/>
    <w:rsid w:val="26030877"/>
    <w:rsid w:val="260A517F"/>
    <w:rsid w:val="26227D4B"/>
    <w:rsid w:val="2643535D"/>
    <w:rsid w:val="26B933F5"/>
    <w:rsid w:val="270343F0"/>
    <w:rsid w:val="27046B2D"/>
    <w:rsid w:val="271C5FB7"/>
    <w:rsid w:val="2721360A"/>
    <w:rsid w:val="27444D1A"/>
    <w:rsid w:val="274A5D47"/>
    <w:rsid w:val="279127D2"/>
    <w:rsid w:val="27927E2A"/>
    <w:rsid w:val="27DE6505"/>
    <w:rsid w:val="27F27F7B"/>
    <w:rsid w:val="28237942"/>
    <w:rsid w:val="28702EA0"/>
    <w:rsid w:val="28802EC1"/>
    <w:rsid w:val="28944894"/>
    <w:rsid w:val="28CF17BB"/>
    <w:rsid w:val="29484FFA"/>
    <w:rsid w:val="29574823"/>
    <w:rsid w:val="2974447D"/>
    <w:rsid w:val="29767DA2"/>
    <w:rsid w:val="29805971"/>
    <w:rsid w:val="29843F3B"/>
    <w:rsid w:val="29CE490D"/>
    <w:rsid w:val="29F03506"/>
    <w:rsid w:val="29F64E7C"/>
    <w:rsid w:val="2A0830BD"/>
    <w:rsid w:val="2A087F43"/>
    <w:rsid w:val="2A2924AD"/>
    <w:rsid w:val="2A8F5939"/>
    <w:rsid w:val="2A9720E9"/>
    <w:rsid w:val="2AF459EC"/>
    <w:rsid w:val="2B2A6EA6"/>
    <w:rsid w:val="2B4877DB"/>
    <w:rsid w:val="2BA932CE"/>
    <w:rsid w:val="2BAD234D"/>
    <w:rsid w:val="2BD21F66"/>
    <w:rsid w:val="2BDC476B"/>
    <w:rsid w:val="2BEB1623"/>
    <w:rsid w:val="2C0C6F99"/>
    <w:rsid w:val="2C1F0E8B"/>
    <w:rsid w:val="2C6314C3"/>
    <w:rsid w:val="2C7946D3"/>
    <w:rsid w:val="2CCD0F8B"/>
    <w:rsid w:val="2CDB2515"/>
    <w:rsid w:val="2CDC519E"/>
    <w:rsid w:val="2CFA66C1"/>
    <w:rsid w:val="2D154D46"/>
    <w:rsid w:val="2D255DE2"/>
    <w:rsid w:val="2D3E3880"/>
    <w:rsid w:val="2D5F1CDE"/>
    <w:rsid w:val="2D7A194E"/>
    <w:rsid w:val="2D843AED"/>
    <w:rsid w:val="2D8F7780"/>
    <w:rsid w:val="2DBA216F"/>
    <w:rsid w:val="2DBF44A4"/>
    <w:rsid w:val="2DD63FFB"/>
    <w:rsid w:val="2DEF5B99"/>
    <w:rsid w:val="2E225AF8"/>
    <w:rsid w:val="2EAB64A0"/>
    <w:rsid w:val="2EB749DC"/>
    <w:rsid w:val="2EC71BE5"/>
    <w:rsid w:val="2EF518A5"/>
    <w:rsid w:val="2F053E33"/>
    <w:rsid w:val="2F0C011A"/>
    <w:rsid w:val="2F373938"/>
    <w:rsid w:val="2F553D9F"/>
    <w:rsid w:val="2F7A7533"/>
    <w:rsid w:val="2F870874"/>
    <w:rsid w:val="2FAE5494"/>
    <w:rsid w:val="2FC24B04"/>
    <w:rsid w:val="2FC72189"/>
    <w:rsid w:val="2FE80C5F"/>
    <w:rsid w:val="300910E5"/>
    <w:rsid w:val="300F4CAA"/>
    <w:rsid w:val="301250BA"/>
    <w:rsid w:val="30533F31"/>
    <w:rsid w:val="30561E73"/>
    <w:rsid w:val="3063626D"/>
    <w:rsid w:val="306A3E86"/>
    <w:rsid w:val="306C747C"/>
    <w:rsid w:val="31107AB3"/>
    <w:rsid w:val="31151CF9"/>
    <w:rsid w:val="31683328"/>
    <w:rsid w:val="31833D0B"/>
    <w:rsid w:val="31904AC6"/>
    <w:rsid w:val="31A017C2"/>
    <w:rsid w:val="31A80005"/>
    <w:rsid w:val="31B02641"/>
    <w:rsid w:val="31B9738C"/>
    <w:rsid w:val="31D90194"/>
    <w:rsid w:val="3216290B"/>
    <w:rsid w:val="323A50ED"/>
    <w:rsid w:val="32576779"/>
    <w:rsid w:val="32637D05"/>
    <w:rsid w:val="328462AE"/>
    <w:rsid w:val="32BF1FAA"/>
    <w:rsid w:val="32E30425"/>
    <w:rsid w:val="33420132"/>
    <w:rsid w:val="336D273B"/>
    <w:rsid w:val="33726828"/>
    <w:rsid w:val="33926474"/>
    <w:rsid w:val="339A4166"/>
    <w:rsid w:val="339C629D"/>
    <w:rsid w:val="33B21CD0"/>
    <w:rsid w:val="33E24C57"/>
    <w:rsid w:val="34167AE2"/>
    <w:rsid w:val="3421356D"/>
    <w:rsid w:val="34517A4E"/>
    <w:rsid w:val="34AF3128"/>
    <w:rsid w:val="34B2084C"/>
    <w:rsid w:val="34CE58A9"/>
    <w:rsid w:val="35147F92"/>
    <w:rsid w:val="35DF6D67"/>
    <w:rsid w:val="35EB23E6"/>
    <w:rsid w:val="36676FB9"/>
    <w:rsid w:val="368213B7"/>
    <w:rsid w:val="36924BEB"/>
    <w:rsid w:val="36A8199D"/>
    <w:rsid w:val="36A9128B"/>
    <w:rsid w:val="373D3CAF"/>
    <w:rsid w:val="37550C62"/>
    <w:rsid w:val="37821ECB"/>
    <w:rsid w:val="37B63C39"/>
    <w:rsid w:val="37B92B6E"/>
    <w:rsid w:val="37C8685D"/>
    <w:rsid w:val="37F060F7"/>
    <w:rsid w:val="37F948A4"/>
    <w:rsid w:val="3819584B"/>
    <w:rsid w:val="38314942"/>
    <w:rsid w:val="38753898"/>
    <w:rsid w:val="38D566A5"/>
    <w:rsid w:val="38D96132"/>
    <w:rsid w:val="38EA4AAC"/>
    <w:rsid w:val="38EB42D9"/>
    <w:rsid w:val="392B6AC7"/>
    <w:rsid w:val="39404630"/>
    <w:rsid w:val="3944044B"/>
    <w:rsid w:val="39441AC9"/>
    <w:rsid w:val="396418FF"/>
    <w:rsid w:val="397B6419"/>
    <w:rsid w:val="39847CE6"/>
    <w:rsid w:val="398C5730"/>
    <w:rsid w:val="39934149"/>
    <w:rsid w:val="39AA3C7A"/>
    <w:rsid w:val="39C33ED0"/>
    <w:rsid w:val="3A3B4D61"/>
    <w:rsid w:val="3A4800A4"/>
    <w:rsid w:val="3A53789C"/>
    <w:rsid w:val="3A6454E7"/>
    <w:rsid w:val="3AE15F93"/>
    <w:rsid w:val="3AFC3626"/>
    <w:rsid w:val="3B191E83"/>
    <w:rsid w:val="3B206E62"/>
    <w:rsid w:val="3B2457A5"/>
    <w:rsid w:val="3B3F5641"/>
    <w:rsid w:val="3BE776E9"/>
    <w:rsid w:val="3BF065D9"/>
    <w:rsid w:val="3C066546"/>
    <w:rsid w:val="3C0A0541"/>
    <w:rsid w:val="3C501C10"/>
    <w:rsid w:val="3C510FBB"/>
    <w:rsid w:val="3C932634"/>
    <w:rsid w:val="3C992A61"/>
    <w:rsid w:val="3CB92508"/>
    <w:rsid w:val="3CD91C37"/>
    <w:rsid w:val="3CDD5731"/>
    <w:rsid w:val="3D7D3E5E"/>
    <w:rsid w:val="3DB11C75"/>
    <w:rsid w:val="3DF30F98"/>
    <w:rsid w:val="3E10366C"/>
    <w:rsid w:val="3E1333A8"/>
    <w:rsid w:val="3E297ABE"/>
    <w:rsid w:val="3E3D0D27"/>
    <w:rsid w:val="3E6B2F61"/>
    <w:rsid w:val="3E6C7828"/>
    <w:rsid w:val="3E882632"/>
    <w:rsid w:val="3E89296C"/>
    <w:rsid w:val="3E8D565C"/>
    <w:rsid w:val="3E9B2B04"/>
    <w:rsid w:val="3E9D1811"/>
    <w:rsid w:val="3EE17506"/>
    <w:rsid w:val="3EE34C7F"/>
    <w:rsid w:val="3EE37C00"/>
    <w:rsid w:val="3EF6573E"/>
    <w:rsid w:val="3F802802"/>
    <w:rsid w:val="3F9E1506"/>
    <w:rsid w:val="3FF9741B"/>
    <w:rsid w:val="40205C98"/>
    <w:rsid w:val="403200FD"/>
    <w:rsid w:val="405F656E"/>
    <w:rsid w:val="407574E1"/>
    <w:rsid w:val="40887BCB"/>
    <w:rsid w:val="40B7608C"/>
    <w:rsid w:val="40CD1A6F"/>
    <w:rsid w:val="40EC74D6"/>
    <w:rsid w:val="40F879E8"/>
    <w:rsid w:val="41074558"/>
    <w:rsid w:val="41375F90"/>
    <w:rsid w:val="41600410"/>
    <w:rsid w:val="419352EA"/>
    <w:rsid w:val="41937205"/>
    <w:rsid w:val="41B70945"/>
    <w:rsid w:val="41BA02CA"/>
    <w:rsid w:val="41F11C7B"/>
    <w:rsid w:val="41F62716"/>
    <w:rsid w:val="41FD7107"/>
    <w:rsid w:val="42231B11"/>
    <w:rsid w:val="427A623F"/>
    <w:rsid w:val="428B1846"/>
    <w:rsid w:val="42A7752F"/>
    <w:rsid w:val="42B5353A"/>
    <w:rsid w:val="42C61D89"/>
    <w:rsid w:val="431F7D37"/>
    <w:rsid w:val="432F3824"/>
    <w:rsid w:val="437B48E7"/>
    <w:rsid w:val="43DD6701"/>
    <w:rsid w:val="4475585B"/>
    <w:rsid w:val="44E71478"/>
    <w:rsid w:val="45101E9C"/>
    <w:rsid w:val="451B130B"/>
    <w:rsid w:val="451E694A"/>
    <w:rsid w:val="455F7AFC"/>
    <w:rsid w:val="456A38E3"/>
    <w:rsid w:val="458F77BC"/>
    <w:rsid w:val="4596428B"/>
    <w:rsid w:val="45CA072A"/>
    <w:rsid w:val="45CB78E6"/>
    <w:rsid w:val="45D458D2"/>
    <w:rsid w:val="45E50439"/>
    <w:rsid w:val="45F259D6"/>
    <w:rsid w:val="463E0A85"/>
    <w:rsid w:val="464C44F3"/>
    <w:rsid w:val="468503B2"/>
    <w:rsid w:val="47106DA6"/>
    <w:rsid w:val="473E428C"/>
    <w:rsid w:val="475A7F21"/>
    <w:rsid w:val="476A2ABB"/>
    <w:rsid w:val="477A42EF"/>
    <w:rsid w:val="47824E2D"/>
    <w:rsid w:val="47CE2C64"/>
    <w:rsid w:val="47E34C63"/>
    <w:rsid w:val="47E93387"/>
    <w:rsid w:val="47F56240"/>
    <w:rsid w:val="48176DE7"/>
    <w:rsid w:val="48262D72"/>
    <w:rsid w:val="48370E8C"/>
    <w:rsid w:val="4840356A"/>
    <w:rsid w:val="4848719F"/>
    <w:rsid w:val="488C2ABD"/>
    <w:rsid w:val="489D7F91"/>
    <w:rsid w:val="489F2E46"/>
    <w:rsid w:val="48B5179B"/>
    <w:rsid w:val="48EF5195"/>
    <w:rsid w:val="48F27E26"/>
    <w:rsid w:val="48F921FF"/>
    <w:rsid w:val="49057D48"/>
    <w:rsid w:val="495406BA"/>
    <w:rsid w:val="49D200B9"/>
    <w:rsid w:val="4A421BC8"/>
    <w:rsid w:val="4A450286"/>
    <w:rsid w:val="4A5117E6"/>
    <w:rsid w:val="4A605966"/>
    <w:rsid w:val="4A7F1CDB"/>
    <w:rsid w:val="4A842C50"/>
    <w:rsid w:val="4A932345"/>
    <w:rsid w:val="4A940A01"/>
    <w:rsid w:val="4AD9100A"/>
    <w:rsid w:val="4B4C15A1"/>
    <w:rsid w:val="4B6F350D"/>
    <w:rsid w:val="4B703543"/>
    <w:rsid w:val="4B8E7597"/>
    <w:rsid w:val="4BDB63B7"/>
    <w:rsid w:val="4BE67BF1"/>
    <w:rsid w:val="4BF21601"/>
    <w:rsid w:val="4C001C37"/>
    <w:rsid w:val="4C152FE0"/>
    <w:rsid w:val="4C357E24"/>
    <w:rsid w:val="4C4B3545"/>
    <w:rsid w:val="4CAB41E2"/>
    <w:rsid w:val="4CD805A7"/>
    <w:rsid w:val="4CFD132D"/>
    <w:rsid w:val="4D1D443D"/>
    <w:rsid w:val="4D437858"/>
    <w:rsid w:val="4D4A7404"/>
    <w:rsid w:val="4D5752DF"/>
    <w:rsid w:val="4D8E698C"/>
    <w:rsid w:val="4DB56314"/>
    <w:rsid w:val="4DBA65C0"/>
    <w:rsid w:val="4DD575B4"/>
    <w:rsid w:val="4E0D0A11"/>
    <w:rsid w:val="4E1E3543"/>
    <w:rsid w:val="4E22203B"/>
    <w:rsid w:val="4E326E87"/>
    <w:rsid w:val="4E3F4618"/>
    <w:rsid w:val="4E683E4A"/>
    <w:rsid w:val="4E913E2A"/>
    <w:rsid w:val="4ED860DE"/>
    <w:rsid w:val="4F4425AF"/>
    <w:rsid w:val="4F8F2EE0"/>
    <w:rsid w:val="4FD74364"/>
    <w:rsid w:val="4FD93CD6"/>
    <w:rsid w:val="4FDE735A"/>
    <w:rsid w:val="4FF03BB4"/>
    <w:rsid w:val="50312558"/>
    <w:rsid w:val="50537BEB"/>
    <w:rsid w:val="50560145"/>
    <w:rsid w:val="50A71BA2"/>
    <w:rsid w:val="50BA5324"/>
    <w:rsid w:val="50C62DA9"/>
    <w:rsid w:val="50CD3BF1"/>
    <w:rsid w:val="50DE64C1"/>
    <w:rsid w:val="50EF78DD"/>
    <w:rsid w:val="50F44504"/>
    <w:rsid w:val="50F815A3"/>
    <w:rsid w:val="51242CCC"/>
    <w:rsid w:val="512F2C65"/>
    <w:rsid w:val="51413043"/>
    <w:rsid w:val="51833398"/>
    <w:rsid w:val="51A9754E"/>
    <w:rsid w:val="51CB2240"/>
    <w:rsid w:val="51FE7641"/>
    <w:rsid w:val="522C7173"/>
    <w:rsid w:val="522D5436"/>
    <w:rsid w:val="523E34C9"/>
    <w:rsid w:val="525B7299"/>
    <w:rsid w:val="528C6A64"/>
    <w:rsid w:val="52973D53"/>
    <w:rsid w:val="52990847"/>
    <w:rsid w:val="52993424"/>
    <w:rsid w:val="529A76BC"/>
    <w:rsid w:val="52AB00CC"/>
    <w:rsid w:val="52BA12D9"/>
    <w:rsid w:val="52D5346E"/>
    <w:rsid w:val="53163DE6"/>
    <w:rsid w:val="53B9103A"/>
    <w:rsid w:val="53EE2848"/>
    <w:rsid w:val="544529CC"/>
    <w:rsid w:val="549B5CA1"/>
    <w:rsid w:val="54AD004C"/>
    <w:rsid w:val="54CB63D9"/>
    <w:rsid w:val="551C3D86"/>
    <w:rsid w:val="552A5976"/>
    <w:rsid w:val="55501CCB"/>
    <w:rsid w:val="556E6D7F"/>
    <w:rsid w:val="55773965"/>
    <w:rsid w:val="55CC1D7E"/>
    <w:rsid w:val="55EC599C"/>
    <w:rsid w:val="561B5532"/>
    <w:rsid w:val="56272CF5"/>
    <w:rsid w:val="56935F65"/>
    <w:rsid w:val="56A0334E"/>
    <w:rsid w:val="56A778AE"/>
    <w:rsid w:val="56E65245"/>
    <w:rsid w:val="56F270EB"/>
    <w:rsid w:val="57073C5A"/>
    <w:rsid w:val="5719354C"/>
    <w:rsid w:val="5720742E"/>
    <w:rsid w:val="57292477"/>
    <w:rsid w:val="572B3B8D"/>
    <w:rsid w:val="57506EAF"/>
    <w:rsid w:val="575146E6"/>
    <w:rsid w:val="57784367"/>
    <w:rsid w:val="57B41CA7"/>
    <w:rsid w:val="57C64F6F"/>
    <w:rsid w:val="58096FC0"/>
    <w:rsid w:val="584F3DF5"/>
    <w:rsid w:val="58825CDA"/>
    <w:rsid w:val="58BC285A"/>
    <w:rsid w:val="58C244A5"/>
    <w:rsid w:val="58C3659C"/>
    <w:rsid w:val="58F7662F"/>
    <w:rsid w:val="594037A8"/>
    <w:rsid w:val="596C31B7"/>
    <w:rsid w:val="59905BF3"/>
    <w:rsid w:val="59DC3CF7"/>
    <w:rsid w:val="5A1A1572"/>
    <w:rsid w:val="5A2636B4"/>
    <w:rsid w:val="5A3C5814"/>
    <w:rsid w:val="5A5E24B4"/>
    <w:rsid w:val="5A6940C8"/>
    <w:rsid w:val="5AD81516"/>
    <w:rsid w:val="5AF84F0A"/>
    <w:rsid w:val="5AFD5E86"/>
    <w:rsid w:val="5B0941BA"/>
    <w:rsid w:val="5B094319"/>
    <w:rsid w:val="5B097271"/>
    <w:rsid w:val="5B331250"/>
    <w:rsid w:val="5B3F3597"/>
    <w:rsid w:val="5B8E597C"/>
    <w:rsid w:val="5BCF0ECC"/>
    <w:rsid w:val="5BD50A1E"/>
    <w:rsid w:val="5C2214F7"/>
    <w:rsid w:val="5C430F8C"/>
    <w:rsid w:val="5C4D3102"/>
    <w:rsid w:val="5C787C10"/>
    <w:rsid w:val="5CA0728B"/>
    <w:rsid w:val="5CD13B0E"/>
    <w:rsid w:val="5CE77FC6"/>
    <w:rsid w:val="5CEB3B8E"/>
    <w:rsid w:val="5D145A16"/>
    <w:rsid w:val="5D575620"/>
    <w:rsid w:val="5D813458"/>
    <w:rsid w:val="5DA21D89"/>
    <w:rsid w:val="5DA33C65"/>
    <w:rsid w:val="5DC74FD5"/>
    <w:rsid w:val="5DFE2792"/>
    <w:rsid w:val="5E426654"/>
    <w:rsid w:val="5E5E3FC4"/>
    <w:rsid w:val="5E6212CE"/>
    <w:rsid w:val="5E664976"/>
    <w:rsid w:val="5E6C744B"/>
    <w:rsid w:val="5E8461FB"/>
    <w:rsid w:val="5EAF5661"/>
    <w:rsid w:val="5EEB5832"/>
    <w:rsid w:val="5EFB15BF"/>
    <w:rsid w:val="5F0515BA"/>
    <w:rsid w:val="5F770925"/>
    <w:rsid w:val="5F806893"/>
    <w:rsid w:val="5F824BF7"/>
    <w:rsid w:val="5FA061F7"/>
    <w:rsid w:val="5FB84574"/>
    <w:rsid w:val="5FED2473"/>
    <w:rsid w:val="604048EE"/>
    <w:rsid w:val="604269EB"/>
    <w:rsid w:val="605C1B0F"/>
    <w:rsid w:val="60662550"/>
    <w:rsid w:val="607A1EEB"/>
    <w:rsid w:val="60936A0B"/>
    <w:rsid w:val="60CF6EDE"/>
    <w:rsid w:val="60E03F60"/>
    <w:rsid w:val="610309B5"/>
    <w:rsid w:val="6116272D"/>
    <w:rsid w:val="612C058C"/>
    <w:rsid w:val="613B63C8"/>
    <w:rsid w:val="617B289D"/>
    <w:rsid w:val="618C3564"/>
    <w:rsid w:val="61950D69"/>
    <w:rsid w:val="61AB1ABB"/>
    <w:rsid w:val="61C55124"/>
    <w:rsid w:val="61CA69BA"/>
    <w:rsid w:val="61D858DC"/>
    <w:rsid w:val="61E30227"/>
    <w:rsid w:val="61FB708C"/>
    <w:rsid w:val="62010444"/>
    <w:rsid w:val="623A43E3"/>
    <w:rsid w:val="624732A7"/>
    <w:rsid w:val="62674D17"/>
    <w:rsid w:val="62786679"/>
    <w:rsid w:val="629F61AB"/>
    <w:rsid w:val="62BD400C"/>
    <w:rsid w:val="62E90645"/>
    <w:rsid w:val="62F64A32"/>
    <w:rsid w:val="632A16C2"/>
    <w:rsid w:val="633320E6"/>
    <w:rsid w:val="633B573D"/>
    <w:rsid w:val="639E29EC"/>
    <w:rsid w:val="63E12CD3"/>
    <w:rsid w:val="64022D41"/>
    <w:rsid w:val="642552D3"/>
    <w:rsid w:val="645A39F9"/>
    <w:rsid w:val="64860166"/>
    <w:rsid w:val="64C14239"/>
    <w:rsid w:val="64F32384"/>
    <w:rsid w:val="64FB56A6"/>
    <w:rsid w:val="651A3A8A"/>
    <w:rsid w:val="659123B7"/>
    <w:rsid w:val="65D670A6"/>
    <w:rsid w:val="65E618DB"/>
    <w:rsid w:val="66064669"/>
    <w:rsid w:val="660B65A8"/>
    <w:rsid w:val="661514C4"/>
    <w:rsid w:val="661F2519"/>
    <w:rsid w:val="6627706F"/>
    <w:rsid w:val="664E6DBC"/>
    <w:rsid w:val="669E1280"/>
    <w:rsid w:val="66D301CB"/>
    <w:rsid w:val="66E462CB"/>
    <w:rsid w:val="66F466D2"/>
    <w:rsid w:val="66FC4602"/>
    <w:rsid w:val="671A5BDB"/>
    <w:rsid w:val="672D6DEC"/>
    <w:rsid w:val="675D067E"/>
    <w:rsid w:val="676160B5"/>
    <w:rsid w:val="677968D8"/>
    <w:rsid w:val="679D0D84"/>
    <w:rsid w:val="67E10BB4"/>
    <w:rsid w:val="67F31987"/>
    <w:rsid w:val="67FE084F"/>
    <w:rsid w:val="680E2956"/>
    <w:rsid w:val="682D39A7"/>
    <w:rsid w:val="682F6B78"/>
    <w:rsid w:val="689A40B6"/>
    <w:rsid w:val="68A7677C"/>
    <w:rsid w:val="68AB11BC"/>
    <w:rsid w:val="68E73EAA"/>
    <w:rsid w:val="68F77EDE"/>
    <w:rsid w:val="69002380"/>
    <w:rsid w:val="690E0E12"/>
    <w:rsid w:val="69296366"/>
    <w:rsid w:val="69505448"/>
    <w:rsid w:val="69657442"/>
    <w:rsid w:val="69757F04"/>
    <w:rsid w:val="69AA4DA8"/>
    <w:rsid w:val="69B21CFF"/>
    <w:rsid w:val="69BB021B"/>
    <w:rsid w:val="69EC39D9"/>
    <w:rsid w:val="6A264989"/>
    <w:rsid w:val="6A534024"/>
    <w:rsid w:val="6A6326E8"/>
    <w:rsid w:val="6A9B5F3C"/>
    <w:rsid w:val="6AE274F2"/>
    <w:rsid w:val="6B11762F"/>
    <w:rsid w:val="6B1B2DC4"/>
    <w:rsid w:val="6B233AD5"/>
    <w:rsid w:val="6B494E2C"/>
    <w:rsid w:val="6B4E4502"/>
    <w:rsid w:val="6BA8454D"/>
    <w:rsid w:val="6BDF2F41"/>
    <w:rsid w:val="6C182081"/>
    <w:rsid w:val="6C1F0F65"/>
    <w:rsid w:val="6C46472D"/>
    <w:rsid w:val="6C5D77A5"/>
    <w:rsid w:val="6C66276D"/>
    <w:rsid w:val="6C7E2F3A"/>
    <w:rsid w:val="6C8366A6"/>
    <w:rsid w:val="6C8511D8"/>
    <w:rsid w:val="6CA36051"/>
    <w:rsid w:val="6CB66586"/>
    <w:rsid w:val="6CF15156"/>
    <w:rsid w:val="6CFE0D8B"/>
    <w:rsid w:val="6D420B90"/>
    <w:rsid w:val="6D5C66B3"/>
    <w:rsid w:val="6DA45E9B"/>
    <w:rsid w:val="6DBB1709"/>
    <w:rsid w:val="6DC1625E"/>
    <w:rsid w:val="6DCC1148"/>
    <w:rsid w:val="6DD31254"/>
    <w:rsid w:val="6DEB17C2"/>
    <w:rsid w:val="6DEF6542"/>
    <w:rsid w:val="6E0558A5"/>
    <w:rsid w:val="6E0701A3"/>
    <w:rsid w:val="6E0C17FC"/>
    <w:rsid w:val="6E1D4484"/>
    <w:rsid w:val="6E29386E"/>
    <w:rsid w:val="6E384B17"/>
    <w:rsid w:val="6EA91383"/>
    <w:rsid w:val="6EC22871"/>
    <w:rsid w:val="6EC901A2"/>
    <w:rsid w:val="6ED27F80"/>
    <w:rsid w:val="6ED56411"/>
    <w:rsid w:val="6EEA26B9"/>
    <w:rsid w:val="6FCB3D88"/>
    <w:rsid w:val="6FE35CEA"/>
    <w:rsid w:val="70171642"/>
    <w:rsid w:val="70582CB5"/>
    <w:rsid w:val="7084647F"/>
    <w:rsid w:val="70BD5197"/>
    <w:rsid w:val="70E07508"/>
    <w:rsid w:val="71164CB3"/>
    <w:rsid w:val="711E581C"/>
    <w:rsid w:val="712C04F9"/>
    <w:rsid w:val="7151357F"/>
    <w:rsid w:val="716507AD"/>
    <w:rsid w:val="716C57C3"/>
    <w:rsid w:val="71774B23"/>
    <w:rsid w:val="717A1E36"/>
    <w:rsid w:val="71817137"/>
    <w:rsid w:val="71824189"/>
    <w:rsid w:val="71883FEE"/>
    <w:rsid w:val="71C14555"/>
    <w:rsid w:val="71E2186E"/>
    <w:rsid w:val="71E53000"/>
    <w:rsid w:val="72107DF8"/>
    <w:rsid w:val="72621561"/>
    <w:rsid w:val="726A012E"/>
    <w:rsid w:val="726B5FCD"/>
    <w:rsid w:val="726E3453"/>
    <w:rsid w:val="729F6D91"/>
    <w:rsid w:val="72AA3630"/>
    <w:rsid w:val="72CE53AB"/>
    <w:rsid w:val="72D07689"/>
    <w:rsid w:val="73023A4E"/>
    <w:rsid w:val="7331639B"/>
    <w:rsid w:val="734340B6"/>
    <w:rsid w:val="73452D5F"/>
    <w:rsid w:val="73B05F40"/>
    <w:rsid w:val="73C22BAA"/>
    <w:rsid w:val="73CB787B"/>
    <w:rsid w:val="73F660B3"/>
    <w:rsid w:val="741076DF"/>
    <w:rsid w:val="7424110F"/>
    <w:rsid w:val="742674B8"/>
    <w:rsid w:val="743E1859"/>
    <w:rsid w:val="74926049"/>
    <w:rsid w:val="74A468F8"/>
    <w:rsid w:val="74A93758"/>
    <w:rsid w:val="74C26C8F"/>
    <w:rsid w:val="74CE5E2F"/>
    <w:rsid w:val="74F02F89"/>
    <w:rsid w:val="752A6A13"/>
    <w:rsid w:val="75467CBA"/>
    <w:rsid w:val="75FE6F0B"/>
    <w:rsid w:val="761D1CA2"/>
    <w:rsid w:val="7642561D"/>
    <w:rsid w:val="7670301E"/>
    <w:rsid w:val="768F5151"/>
    <w:rsid w:val="76915F2E"/>
    <w:rsid w:val="769F27BC"/>
    <w:rsid w:val="76BF62F1"/>
    <w:rsid w:val="76DA0FE0"/>
    <w:rsid w:val="76E571BB"/>
    <w:rsid w:val="76F01211"/>
    <w:rsid w:val="77183017"/>
    <w:rsid w:val="772A1F70"/>
    <w:rsid w:val="77395ABF"/>
    <w:rsid w:val="773F67E1"/>
    <w:rsid w:val="7758520A"/>
    <w:rsid w:val="77750415"/>
    <w:rsid w:val="777565F4"/>
    <w:rsid w:val="780209D7"/>
    <w:rsid w:val="780D1D62"/>
    <w:rsid w:val="78127AB4"/>
    <w:rsid w:val="78295803"/>
    <w:rsid w:val="782A36B4"/>
    <w:rsid w:val="782A7431"/>
    <w:rsid w:val="78456788"/>
    <w:rsid w:val="786308D8"/>
    <w:rsid w:val="789D753C"/>
    <w:rsid w:val="78A14706"/>
    <w:rsid w:val="78A240DD"/>
    <w:rsid w:val="78E8706B"/>
    <w:rsid w:val="796E773E"/>
    <w:rsid w:val="797E7DE6"/>
    <w:rsid w:val="79807339"/>
    <w:rsid w:val="79860410"/>
    <w:rsid w:val="79FC1B1A"/>
    <w:rsid w:val="7A194265"/>
    <w:rsid w:val="7A42417A"/>
    <w:rsid w:val="7A484C7A"/>
    <w:rsid w:val="7A6C7E44"/>
    <w:rsid w:val="7A800DAA"/>
    <w:rsid w:val="7A8A6D3D"/>
    <w:rsid w:val="7AB62FFE"/>
    <w:rsid w:val="7AE10D18"/>
    <w:rsid w:val="7AE13B21"/>
    <w:rsid w:val="7AF54075"/>
    <w:rsid w:val="7B083198"/>
    <w:rsid w:val="7B215797"/>
    <w:rsid w:val="7B595800"/>
    <w:rsid w:val="7B5978B4"/>
    <w:rsid w:val="7B600079"/>
    <w:rsid w:val="7BCF1053"/>
    <w:rsid w:val="7BEF5719"/>
    <w:rsid w:val="7BF33F59"/>
    <w:rsid w:val="7BF82CFF"/>
    <w:rsid w:val="7C175083"/>
    <w:rsid w:val="7C1975BA"/>
    <w:rsid w:val="7C3A1599"/>
    <w:rsid w:val="7C927091"/>
    <w:rsid w:val="7C931321"/>
    <w:rsid w:val="7CA42915"/>
    <w:rsid w:val="7CAA05A7"/>
    <w:rsid w:val="7CBB4B08"/>
    <w:rsid w:val="7CC852B3"/>
    <w:rsid w:val="7D08466B"/>
    <w:rsid w:val="7D1275A1"/>
    <w:rsid w:val="7D231095"/>
    <w:rsid w:val="7D283CED"/>
    <w:rsid w:val="7D803544"/>
    <w:rsid w:val="7DA669F9"/>
    <w:rsid w:val="7DB427F4"/>
    <w:rsid w:val="7DE20764"/>
    <w:rsid w:val="7DF20B26"/>
    <w:rsid w:val="7E017A7D"/>
    <w:rsid w:val="7E5705AE"/>
    <w:rsid w:val="7E93140D"/>
    <w:rsid w:val="7E9776EB"/>
    <w:rsid w:val="7EB90124"/>
    <w:rsid w:val="7ECA4769"/>
    <w:rsid w:val="7EDA3E33"/>
    <w:rsid w:val="7EE76EE7"/>
    <w:rsid w:val="7EF97502"/>
    <w:rsid w:val="7F1246B2"/>
    <w:rsid w:val="7F2824AD"/>
    <w:rsid w:val="7F2A3B56"/>
    <w:rsid w:val="7F534D1E"/>
    <w:rsid w:val="7F973684"/>
    <w:rsid w:val="7FCA4D62"/>
    <w:rsid w:val="7FDF76B8"/>
    <w:rsid w:val="7FFC28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Calibri" w:hAnsi="Calibri" w:eastAsia="仿宋_GB2312" w:cs="Calibr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spacing w:beforeAutospacing="1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99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标题 1 Char"/>
    <w:basedOn w:val="8"/>
    <w:link w:val="2"/>
    <w:qFormat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NormalCharacter"/>
    <w:semiHidden/>
    <w:qFormat/>
    <w:uiPriority w:val="99"/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仿宋_GB2312" w:cs="宋体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1818</Words>
  <Characters>10369</Characters>
  <Lines>86</Lines>
  <Paragraphs>24</Paragraphs>
  <TotalTime>51</TotalTime>
  <ScaleCrop>false</ScaleCrop>
  <LinksUpToDate>false</LinksUpToDate>
  <CharactersWithSpaces>12163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2020-01-13T09:46:00Z</dcterms:created>
  <dc:creator>Administrator</dc:creator>
  <cp:lastModifiedBy>小胡来</cp:lastModifiedBy>
  <cp:lastPrinted>2020-01-14T03:39:00Z</cp:lastPrinted>
  <dcterms:modified xsi:type="dcterms:W3CDTF">2024-04-07T02:19:02Z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345280A1D08C49F4A4C50CB367D1C93E_12</vt:lpwstr>
  </property>
</Properties>
</file>