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ind w:firstLine="480"/>
        <w:rPr>
          <w:rFonts w:ascii="宋体" w:hAnsi="宋体" w:cs="宋体"/>
          <w:kern w:val="0"/>
          <w:sz w:val="24"/>
          <w:szCs w:val="24"/>
        </w:rPr>
      </w:pPr>
    </w:p>
    <w:p>
      <w:pPr>
        <w:widowControl/>
        <w:spacing w:line="432" w:lineRule="auto"/>
        <w:jc w:val="center"/>
        <w:rPr>
          <w:rFonts w:ascii="方正小标宋简体" w:hAnsi="宋体" w:eastAsia="方正小标宋简体" w:cs="宋体"/>
          <w:kern w:val="0"/>
          <w:sz w:val="24"/>
          <w:szCs w:val="24"/>
        </w:rPr>
      </w:pPr>
      <w:r>
        <w:rPr>
          <w:rFonts w:hint="eastAsia" w:ascii="方正小标宋简体" w:hAnsi="宋体" w:eastAsia="方正小标宋简体" w:cs="宋体"/>
          <w:bCs/>
          <w:kern w:val="0"/>
          <w:sz w:val="36"/>
          <w:szCs w:val="36"/>
        </w:rPr>
        <w:t>拱墅区金融办2021年政府信息公开工作年度报告</w:t>
      </w:r>
    </w:p>
    <w:p>
      <w:pPr>
        <w:widowControl/>
        <w:spacing w:line="432" w:lineRule="auto"/>
        <w:ind w:firstLine="480"/>
        <w:rPr>
          <w:rFonts w:ascii="宋体" w:hAnsi="宋体" w:cs="宋体"/>
          <w:kern w:val="0"/>
          <w:sz w:val="24"/>
          <w:szCs w:val="24"/>
        </w:rPr>
      </w:pPr>
    </w:p>
    <w:p>
      <w:pPr>
        <w:widowControl/>
        <w:spacing w:line="432" w:lineRule="auto"/>
        <w:ind w:firstLine="480"/>
        <w:rPr>
          <w:rFonts w:ascii="黑体" w:hAnsi="黑体" w:eastAsia="黑体" w:cs="宋体"/>
          <w:kern w:val="0"/>
          <w:sz w:val="32"/>
          <w:szCs w:val="24"/>
        </w:rPr>
      </w:pPr>
      <w:r>
        <w:rPr>
          <w:rFonts w:hint="eastAsia" w:ascii="黑体" w:hAnsi="黑体" w:eastAsia="黑体" w:cs="宋体"/>
          <w:bCs/>
          <w:kern w:val="0"/>
          <w:sz w:val="32"/>
          <w:szCs w:val="24"/>
        </w:rPr>
        <w:t>一、总体情况</w:t>
      </w:r>
    </w:p>
    <w:p>
      <w:pPr>
        <w:pStyle w:val="7"/>
        <w:shd w:val="clear" w:color="auto" w:fill="FFFFFF"/>
        <w:spacing w:before="0" w:beforeAutospacing="0" w:after="0" w:afterAutospacing="0"/>
        <w:ind w:firstLine="480"/>
        <w:rPr>
          <w:rFonts w:ascii="仿宋_GB2312" w:hAnsi="微软雅黑" w:eastAsia="仿宋_GB2312"/>
          <w:sz w:val="32"/>
          <w:szCs w:val="21"/>
        </w:rPr>
      </w:pPr>
      <w:r>
        <w:rPr>
          <w:rFonts w:hint="eastAsia" w:ascii="仿宋_GB2312" w:hAnsi="微软雅黑" w:eastAsia="仿宋_GB2312"/>
          <w:sz w:val="32"/>
          <w:szCs w:val="21"/>
        </w:rPr>
        <w:t>2021年，我办以习近平新时代中国特色社会主义思想为指导，深入贯彻习近平总书记系列重要讲话精神，严格落实党中央</w:t>
      </w:r>
      <w:r>
        <w:rPr>
          <w:rFonts w:hint="default" w:ascii="仿宋_GB2312" w:hAnsi="微软雅黑" w:eastAsia="仿宋_GB2312"/>
          <w:sz w:val="32"/>
          <w:szCs w:val="21"/>
        </w:rPr>
        <w:t>、</w:t>
      </w:r>
      <w:bookmarkStart w:id="0" w:name="_GoBack"/>
      <w:bookmarkEnd w:id="0"/>
      <w:r>
        <w:rPr>
          <w:rFonts w:hint="eastAsia" w:ascii="仿宋_GB2312" w:hAnsi="微软雅黑" w:eastAsia="仿宋_GB2312"/>
          <w:sz w:val="32"/>
          <w:szCs w:val="21"/>
        </w:rPr>
        <w:t>国务院、省委省政府关于全面推进政务公开标准化规范化工作的部署，全面落实《中华人民共和国政府信息公开条例》，紧密结合工作实际，认真完成政务信息公开的相关工作。</w:t>
      </w:r>
    </w:p>
    <w:p>
      <w:pPr>
        <w:pStyle w:val="7"/>
        <w:shd w:val="clear" w:color="auto" w:fill="FFFFFF"/>
        <w:spacing w:before="0" w:beforeAutospacing="0" w:after="0" w:afterAutospacing="0"/>
        <w:ind w:firstLine="480"/>
        <w:rPr>
          <w:rFonts w:ascii="仿宋_GB2312" w:hAnsi="微软雅黑" w:eastAsia="仿宋_GB2312"/>
          <w:sz w:val="32"/>
          <w:szCs w:val="21"/>
        </w:rPr>
      </w:pPr>
      <w:r>
        <w:rPr>
          <w:rFonts w:hint="eastAsia" w:ascii="仿宋_GB2312" w:hAnsi="微软雅黑" w:eastAsia="仿宋_GB2312"/>
          <w:sz w:val="32"/>
          <w:szCs w:val="21"/>
        </w:rPr>
        <w:t>（一）主动公开情况</w:t>
      </w:r>
    </w:p>
    <w:p>
      <w:pPr>
        <w:pStyle w:val="7"/>
        <w:shd w:val="clear" w:color="auto" w:fill="FFFFFF"/>
        <w:spacing w:before="0" w:beforeAutospacing="0" w:after="0" w:afterAutospacing="0"/>
        <w:ind w:firstLine="480"/>
        <w:rPr>
          <w:rFonts w:ascii="仿宋_GB2312" w:hAnsi="微软雅黑" w:eastAsia="仿宋_GB2312"/>
          <w:sz w:val="32"/>
          <w:szCs w:val="21"/>
        </w:rPr>
      </w:pPr>
      <w:r>
        <w:rPr>
          <w:rFonts w:hint="eastAsia" w:ascii="仿宋_GB2312" w:hAnsi="微软雅黑" w:eastAsia="仿宋_GB2312"/>
          <w:sz w:val="32"/>
          <w:szCs w:val="21"/>
        </w:rPr>
        <w:t>2021年度，我办聚焦法定内容，推进政务公开工作。认真履行全区政府信息公开工作主管部门职责，我办在拱墅门户网站部门信息公开目录中共发布信息34条，其中机构设置3条，政策文件1条，规划计划2条，资金信息2条，人事信息3条，政府工作2条，行政执法公开2条，部门动态等其他类信息17条。</w:t>
      </w:r>
    </w:p>
    <w:p>
      <w:pPr>
        <w:pStyle w:val="7"/>
        <w:shd w:val="clear" w:color="auto" w:fill="FFFFFF"/>
        <w:spacing w:before="0" w:beforeAutospacing="0" w:after="0" w:afterAutospacing="0"/>
        <w:ind w:firstLine="480"/>
        <w:rPr>
          <w:rFonts w:ascii="仿宋_GB2312" w:hAnsi="微软雅黑" w:eastAsia="仿宋_GB2312"/>
          <w:sz w:val="32"/>
          <w:szCs w:val="21"/>
        </w:rPr>
      </w:pPr>
      <w:r>
        <w:rPr>
          <w:rFonts w:hint="eastAsia" w:ascii="仿宋_GB2312" w:hAnsi="微软雅黑" w:eastAsia="仿宋_GB2312"/>
          <w:sz w:val="32"/>
          <w:szCs w:val="21"/>
        </w:rPr>
        <w:t>（二）依申请公开情况</w:t>
      </w:r>
    </w:p>
    <w:p>
      <w:pPr>
        <w:pStyle w:val="7"/>
        <w:shd w:val="clear" w:color="auto" w:fill="FFFFFF"/>
        <w:spacing w:before="0" w:beforeAutospacing="0" w:after="0" w:afterAutospacing="0"/>
        <w:ind w:firstLine="480"/>
        <w:rPr>
          <w:rFonts w:ascii="仿宋_GB2312" w:hAnsi="微软雅黑" w:eastAsia="仿宋_GB2312"/>
          <w:sz w:val="32"/>
          <w:szCs w:val="21"/>
        </w:rPr>
      </w:pPr>
      <w:r>
        <w:rPr>
          <w:rFonts w:hint="eastAsia" w:ascii="仿宋_GB2312" w:hAnsi="微软雅黑" w:eastAsia="仿宋_GB2312"/>
          <w:sz w:val="32"/>
          <w:szCs w:val="21"/>
        </w:rPr>
        <w:t>2021年度，我办共收到依申请公开0件。</w:t>
      </w:r>
    </w:p>
    <w:p>
      <w:pPr>
        <w:pStyle w:val="7"/>
        <w:shd w:val="clear" w:color="auto" w:fill="FFFFFF"/>
        <w:spacing w:before="0" w:beforeAutospacing="0" w:after="0" w:afterAutospacing="0"/>
        <w:ind w:firstLine="480"/>
        <w:rPr>
          <w:rFonts w:ascii="仿宋_GB2312" w:hAnsi="微软雅黑" w:eastAsia="仿宋_GB2312"/>
          <w:sz w:val="32"/>
          <w:szCs w:val="21"/>
        </w:rPr>
      </w:pPr>
      <w:r>
        <w:rPr>
          <w:rFonts w:hint="eastAsia" w:ascii="仿宋_GB2312" w:hAnsi="微软雅黑" w:eastAsia="仿宋_GB2312"/>
          <w:sz w:val="32"/>
          <w:szCs w:val="21"/>
        </w:rPr>
        <w:t>（三）平台建设情况</w:t>
      </w:r>
    </w:p>
    <w:p>
      <w:pPr>
        <w:pStyle w:val="7"/>
        <w:shd w:val="clear" w:color="auto" w:fill="FFFFFF"/>
        <w:spacing w:before="0" w:beforeAutospacing="0" w:after="0" w:afterAutospacing="0"/>
        <w:ind w:firstLine="480"/>
        <w:rPr>
          <w:rFonts w:ascii="仿宋_GB2312" w:hAnsi="微软雅黑" w:eastAsia="仿宋_GB2312"/>
          <w:sz w:val="32"/>
          <w:szCs w:val="21"/>
        </w:rPr>
      </w:pPr>
      <w:r>
        <w:rPr>
          <w:rFonts w:hint="eastAsia" w:ascii="仿宋_GB2312" w:hAnsi="微软雅黑" w:eastAsia="仿宋_GB2312"/>
          <w:sz w:val="32"/>
          <w:szCs w:val="21"/>
        </w:rPr>
        <w:t>加强门户网站内容建设，充分发挥微信公众号和门户网站在信息公开中的主渠道作用，规范栏目设置，及时、准确、规范发布各类信息。深化重点领域项目信息公开，及时公开人事信息、部门文件等重要信息。</w:t>
      </w:r>
    </w:p>
    <w:p>
      <w:pPr>
        <w:pStyle w:val="7"/>
        <w:shd w:val="clear" w:color="auto" w:fill="FFFFFF"/>
        <w:spacing w:before="0" w:beforeAutospacing="0" w:after="0" w:afterAutospacing="0"/>
        <w:ind w:firstLine="480"/>
        <w:rPr>
          <w:rFonts w:ascii="仿宋_GB2312" w:hAnsi="微软雅黑" w:eastAsia="仿宋_GB2312"/>
          <w:color w:val="333333"/>
          <w:sz w:val="32"/>
          <w:szCs w:val="21"/>
        </w:rPr>
      </w:pPr>
      <w:r>
        <w:rPr>
          <w:rFonts w:hint="eastAsia" w:ascii="仿宋_GB2312" w:hAnsi="微软雅黑" w:eastAsia="仿宋_GB2312"/>
          <w:color w:val="333333"/>
          <w:sz w:val="32"/>
          <w:szCs w:val="21"/>
        </w:rPr>
        <w:t>（四）政策解读方面</w:t>
      </w:r>
    </w:p>
    <w:p>
      <w:pPr>
        <w:pStyle w:val="7"/>
        <w:shd w:val="clear" w:color="auto" w:fill="FFFFFF"/>
        <w:spacing w:before="0" w:beforeAutospacing="0" w:after="0" w:afterAutospacing="0"/>
        <w:ind w:firstLine="480"/>
        <w:rPr>
          <w:rFonts w:ascii="仿宋_GB2312" w:hAnsi="微软雅黑" w:eastAsia="仿宋_GB2312"/>
          <w:color w:val="333333"/>
          <w:sz w:val="32"/>
          <w:szCs w:val="21"/>
        </w:rPr>
      </w:pPr>
      <w:r>
        <w:rPr>
          <w:rFonts w:hint="eastAsia" w:ascii="仿宋_GB2312" w:hAnsi="微软雅黑" w:eastAsia="仿宋_GB2312"/>
          <w:color w:val="333333"/>
          <w:sz w:val="32"/>
          <w:szCs w:val="21"/>
        </w:rPr>
        <w:t>2021年度，我办无政策解读类相关文件。</w:t>
      </w:r>
    </w:p>
    <w:p>
      <w:pPr>
        <w:pStyle w:val="7"/>
        <w:shd w:val="clear" w:color="auto" w:fill="FFFFFF"/>
        <w:spacing w:before="0" w:beforeAutospacing="0" w:after="0" w:afterAutospacing="0"/>
        <w:ind w:firstLine="480"/>
        <w:rPr>
          <w:rFonts w:ascii="仿宋_GB2312" w:hAnsi="微软雅黑" w:eastAsia="仿宋_GB2312"/>
          <w:color w:val="333333"/>
          <w:sz w:val="32"/>
          <w:szCs w:val="21"/>
        </w:rPr>
      </w:pPr>
      <w:r>
        <w:rPr>
          <w:rFonts w:hint="eastAsia" w:ascii="仿宋_GB2312" w:hAnsi="微软雅黑" w:eastAsia="仿宋_GB2312"/>
          <w:color w:val="333333"/>
          <w:sz w:val="32"/>
          <w:szCs w:val="21"/>
        </w:rPr>
        <w:t>（五）回应关切情况</w:t>
      </w:r>
    </w:p>
    <w:p>
      <w:pPr>
        <w:pStyle w:val="7"/>
        <w:shd w:val="clear" w:color="auto" w:fill="FFFFFF"/>
        <w:spacing w:before="0" w:beforeAutospacing="0" w:after="0" w:afterAutospacing="0"/>
        <w:ind w:firstLine="480"/>
        <w:rPr>
          <w:rFonts w:ascii="仿宋_GB2312" w:hAnsi="微软雅黑" w:eastAsia="仿宋_GB2312"/>
          <w:color w:val="333333"/>
          <w:sz w:val="32"/>
          <w:szCs w:val="21"/>
        </w:rPr>
      </w:pPr>
      <w:r>
        <w:rPr>
          <w:rFonts w:hint="eastAsia" w:ascii="仿宋_GB2312" w:hAnsi="微软雅黑" w:eastAsia="仿宋_GB2312"/>
          <w:color w:val="333333"/>
          <w:sz w:val="32"/>
          <w:szCs w:val="21"/>
        </w:rPr>
        <w:t>2021年我办无受理网上咨询类情况。</w:t>
      </w:r>
    </w:p>
    <w:p>
      <w:pPr>
        <w:pStyle w:val="7"/>
        <w:shd w:val="clear" w:color="auto" w:fill="FFFFFF"/>
        <w:spacing w:before="0" w:beforeAutospacing="0" w:after="0" w:afterAutospacing="0"/>
        <w:ind w:firstLine="480"/>
        <w:rPr>
          <w:rFonts w:ascii="仿宋_GB2312" w:hAnsi="微软雅黑" w:eastAsia="仿宋_GB2312"/>
          <w:color w:val="333333"/>
          <w:sz w:val="32"/>
          <w:szCs w:val="21"/>
        </w:rPr>
      </w:pPr>
      <w:r>
        <w:rPr>
          <w:rFonts w:hint="eastAsia" w:ascii="仿宋_GB2312" w:hAnsi="微软雅黑" w:eastAsia="仿宋_GB2312"/>
          <w:color w:val="333333"/>
          <w:sz w:val="32"/>
          <w:szCs w:val="21"/>
        </w:rPr>
        <w:t>（六）政府信息管理</w:t>
      </w:r>
    </w:p>
    <w:p>
      <w:pPr>
        <w:pStyle w:val="7"/>
        <w:shd w:val="clear" w:color="auto" w:fill="FFFFFF"/>
        <w:spacing w:before="0" w:beforeAutospacing="0" w:after="0" w:afterAutospacing="0"/>
        <w:ind w:firstLine="480"/>
        <w:rPr>
          <w:rFonts w:ascii="仿宋_GB2312" w:hAnsi="微软雅黑" w:eastAsia="仿宋_GB2312"/>
          <w:color w:val="333333"/>
          <w:sz w:val="32"/>
          <w:szCs w:val="21"/>
        </w:rPr>
      </w:pPr>
      <w:r>
        <w:rPr>
          <w:rFonts w:hint="eastAsia" w:ascii="仿宋_GB2312" w:hAnsi="微软雅黑" w:eastAsia="仿宋_GB2312"/>
          <w:color w:val="333333"/>
          <w:sz w:val="32"/>
          <w:szCs w:val="21"/>
        </w:rPr>
        <w:t>认真落实发布信息内部审核制度，完善和健全审查、培训、台账等政府信息管理要求，严格按照起草、审核、发布流程对信息进行全流程管理，确保信息公开审查无遗漏。</w:t>
      </w:r>
    </w:p>
    <w:p>
      <w:pPr>
        <w:pStyle w:val="7"/>
        <w:shd w:val="clear" w:color="auto" w:fill="FFFFFF"/>
        <w:spacing w:before="0" w:beforeAutospacing="0" w:after="0" w:afterAutospacing="0"/>
        <w:ind w:firstLine="480"/>
        <w:rPr>
          <w:rFonts w:ascii="仿宋_GB2312" w:hAnsi="微软雅黑" w:eastAsia="仿宋_GB2312"/>
          <w:color w:val="333333"/>
          <w:sz w:val="32"/>
          <w:szCs w:val="21"/>
        </w:rPr>
      </w:pPr>
      <w:r>
        <w:rPr>
          <w:rFonts w:hint="eastAsia" w:ascii="仿宋_GB2312" w:hAnsi="微软雅黑" w:eastAsia="仿宋_GB2312"/>
          <w:color w:val="333333"/>
          <w:sz w:val="32"/>
          <w:szCs w:val="21"/>
        </w:rPr>
        <w:t>（七）监督保障情况</w:t>
      </w:r>
    </w:p>
    <w:p>
      <w:pPr>
        <w:pStyle w:val="7"/>
        <w:shd w:val="clear" w:color="auto" w:fill="FFFFFF"/>
        <w:spacing w:before="0" w:beforeAutospacing="0" w:after="0" w:afterAutospacing="0"/>
        <w:ind w:firstLine="480"/>
        <w:rPr>
          <w:rFonts w:ascii="仿宋_GB2312" w:hAnsi="微软雅黑" w:eastAsia="仿宋_GB2312"/>
          <w:color w:val="333333"/>
          <w:sz w:val="32"/>
          <w:szCs w:val="21"/>
        </w:rPr>
      </w:pPr>
      <w:r>
        <w:rPr>
          <w:rFonts w:hint="eastAsia" w:ascii="仿宋_GB2312" w:hAnsi="微软雅黑" w:eastAsia="仿宋_GB2312"/>
          <w:color w:val="333333"/>
          <w:sz w:val="32"/>
          <w:szCs w:val="21"/>
        </w:rPr>
        <w:t>认真贯彻落实新修订的《中华人民共和国政府信息公开条例》，政府信息公开工作人员多次专题学习新条例和参加区府办组织的政务公开工作培训，掌握新条例法定条文和时点时限要求，确保各项规定落到实处。严格政务公开信息把关，建立信息公开发布审核机制，规范网站信息报送程序，加强对上网信息的审核，保证上网信息的准确性与安全性。2021年，本单位未发生政府信息公开工作责任追究结果情况。</w:t>
      </w:r>
    </w:p>
    <w:p>
      <w:pPr>
        <w:widowControl/>
        <w:spacing w:line="432" w:lineRule="auto"/>
        <w:ind w:firstLine="480"/>
        <w:rPr>
          <w:rFonts w:ascii="宋体" w:hAnsi="宋体" w:cs="宋体"/>
          <w:kern w:val="0"/>
          <w:sz w:val="24"/>
          <w:szCs w:val="24"/>
        </w:rPr>
      </w:pPr>
    </w:p>
    <w:p>
      <w:pPr>
        <w:widowControl/>
        <w:spacing w:line="432" w:lineRule="auto"/>
        <w:ind w:firstLine="480"/>
        <w:rPr>
          <w:rFonts w:ascii="宋体" w:hAnsi="宋体" w:cs="宋体"/>
          <w:kern w:val="0"/>
          <w:sz w:val="24"/>
          <w:szCs w:val="24"/>
        </w:rPr>
      </w:pPr>
    </w:p>
    <w:p>
      <w:pPr>
        <w:widowControl/>
        <w:spacing w:line="432" w:lineRule="auto"/>
        <w:rPr>
          <w:rFonts w:hint="eastAsia" w:ascii="宋体" w:hAnsi="宋体" w:cs="宋体"/>
          <w:kern w:val="0"/>
          <w:sz w:val="24"/>
          <w:szCs w:val="24"/>
        </w:rPr>
      </w:pPr>
    </w:p>
    <w:p>
      <w:pPr>
        <w:widowControl/>
        <w:spacing w:line="432" w:lineRule="auto"/>
        <w:rPr>
          <w:rFonts w:ascii="宋体" w:hAnsi="宋体" w:cs="宋体"/>
          <w:kern w:val="0"/>
          <w:sz w:val="24"/>
          <w:szCs w:val="24"/>
        </w:rPr>
      </w:pPr>
    </w:p>
    <w:p>
      <w:pPr>
        <w:widowControl/>
        <w:spacing w:line="432" w:lineRule="auto"/>
        <w:rPr>
          <w:rFonts w:ascii="黑体" w:hAnsi="黑体" w:eastAsia="黑体" w:cs="宋体"/>
          <w:bCs/>
          <w:kern w:val="0"/>
          <w:sz w:val="32"/>
          <w:szCs w:val="24"/>
        </w:rPr>
      </w:pPr>
      <w:r>
        <w:rPr>
          <w:rFonts w:hint="eastAsia" w:ascii="黑体" w:hAnsi="黑体" w:eastAsia="黑体" w:cs="宋体"/>
          <w:bCs/>
          <w:kern w:val="0"/>
          <w:sz w:val="32"/>
          <w:szCs w:val="24"/>
        </w:rPr>
        <w:t>二、主动公开政府信息情况</w:t>
      </w:r>
    </w:p>
    <w:p>
      <w:pPr>
        <w:widowControl/>
        <w:spacing w:line="432" w:lineRule="auto"/>
        <w:ind w:firstLine="480"/>
        <w:rPr>
          <w:rFonts w:ascii="宋体" w:hAnsi="宋体" w:cs="宋体"/>
          <w:kern w:val="0"/>
          <w:sz w:val="24"/>
          <w:szCs w:val="24"/>
        </w:rPr>
      </w:pPr>
    </w:p>
    <w:tbl>
      <w:tblPr>
        <w:tblStyle w:val="8"/>
        <w:tblW w:w="9740" w:type="dxa"/>
        <w:jc w:val="center"/>
        <w:tblLayout w:type="fixed"/>
        <w:tblCellMar>
          <w:top w:w="0" w:type="dxa"/>
          <w:left w:w="0" w:type="dxa"/>
          <w:bottom w:w="0" w:type="dxa"/>
          <w:right w:w="0" w:type="dxa"/>
        </w:tblCellMar>
      </w:tblPr>
      <w:tblGrid>
        <w:gridCol w:w="2435"/>
        <w:gridCol w:w="2435"/>
        <w:gridCol w:w="2435"/>
        <w:gridCol w:w="2435"/>
      </w:tblGrid>
      <w:tr>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第二十条第（一）项</w:t>
            </w:r>
          </w:p>
        </w:tc>
      </w:tr>
      <w:tr>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w:t>
            </w:r>
            <w:r>
              <w:rPr>
                <w:rFonts w:ascii="宋体" w:hAnsi="宋体"/>
                <w:kern w:val="0"/>
                <w:sz w:val="20"/>
                <w:szCs w:val="20"/>
              </w:rPr>
              <w:t>制</w:t>
            </w:r>
            <w:r>
              <w:rPr>
                <w:rFonts w:hint="eastAsia" w:ascii="宋体" w:hAnsi="宋体" w:cs="宋体"/>
                <w:kern w:val="0"/>
                <w:sz w:val="20"/>
                <w:szCs w:val="20"/>
              </w:rPr>
              <w:t>发件</w:t>
            </w:r>
            <w:r>
              <w:rPr>
                <w:rFonts w:ascii="宋体" w:hAnsi="宋体"/>
                <w:kern w:val="0"/>
                <w:sz w:val="20"/>
                <w:szCs w:val="20"/>
              </w:rPr>
              <w:t>数</w:t>
            </w:r>
          </w:p>
        </w:tc>
        <w:tc>
          <w:tcPr>
            <w:tcW w:w="2435"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现行有效件</w:t>
            </w:r>
            <w:r>
              <w:rPr>
                <w:rFonts w:ascii="宋体" w:hAnsi="宋体"/>
                <w:kern w:val="0"/>
                <w:sz w:val="20"/>
                <w:szCs w:val="20"/>
              </w:rPr>
              <w:t>数</w:t>
            </w:r>
          </w:p>
        </w:tc>
      </w:tr>
      <w:tr>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　　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t> </w:t>
            </w:r>
            <w:r>
              <w:rPr>
                <w:rFonts w:hint="eastAsia"/>
              </w:rPr>
              <w:t>0</w:t>
            </w:r>
          </w:p>
        </w:tc>
      </w:tr>
      <w:tr>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　　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t> </w:t>
            </w:r>
            <w:r>
              <w:rPr>
                <w:rFonts w:hint="eastAsia"/>
              </w:rPr>
              <w:t>0</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第二十条第（五）项</w:t>
            </w:r>
          </w:p>
        </w:tc>
      </w:tr>
      <w:tr>
        <w:trPr>
          <w:trHeight w:val="340" w:hRule="atLeast"/>
          <w:jc w:val="center"/>
        </w:trPr>
        <w:tc>
          <w:tcPr>
            <w:tcW w:w="2435"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行政许可</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t> </w:t>
            </w:r>
            <w:r>
              <w:rPr>
                <w:rFonts w:hint="eastAsia"/>
              </w:rPr>
              <w:t>0</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第二十条第（六）项</w:t>
            </w:r>
          </w:p>
        </w:tc>
      </w:tr>
      <w:tr>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　0</w:t>
            </w:r>
          </w:p>
        </w:tc>
      </w:tr>
      <w:tr>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　0</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第二十条第（八）项</w:t>
            </w:r>
          </w:p>
        </w:tc>
      </w:tr>
      <w:tr>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本年收费金额（单位：万元）</w:t>
            </w:r>
          </w:p>
        </w:tc>
      </w:tr>
      <w:tr>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left"/>
              <w:rPr>
                <w:rFonts w:ascii="宋体" w:hAnsi="宋体" w:cs="宋体"/>
                <w:kern w:val="0"/>
              </w:rPr>
            </w:pPr>
            <w:r>
              <w:rPr>
                <w:rFonts w:hint="eastAsia" w:ascii="宋体" w:hAnsi="宋体" w:cs="宋体"/>
                <w:kern w:val="0"/>
              </w:rPr>
              <w:t>0</w:t>
            </w:r>
          </w:p>
        </w:tc>
      </w:tr>
    </w:tbl>
    <w:p>
      <w:pPr>
        <w:widowControl/>
        <w:spacing w:line="432" w:lineRule="auto"/>
        <w:jc w:val="left"/>
        <w:rPr>
          <w:rFonts w:ascii="宋体" w:hAnsi="宋体" w:cs="宋体"/>
          <w:kern w:val="0"/>
          <w:sz w:val="24"/>
          <w:szCs w:val="24"/>
        </w:rPr>
      </w:pPr>
    </w:p>
    <w:p>
      <w:pPr>
        <w:widowControl/>
        <w:spacing w:line="432" w:lineRule="auto"/>
        <w:jc w:val="left"/>
        <w:rPr>
          <w:rFonts w:ascii="宋体" w:hAnsi="宋体" w:cs="宋体"/>
          <w:kern w:val="0"/>
          <w:sz w:val="24"/>
          <w:szCs w:val="24"/>
        </w:rPr>
      </w:pPr>
    </w:p>
    <w:p>
      <w:pPr>
        <w:widowControl/>
        <w:spacing w:line="432" w:lineRule="auto"/>
        <w:jc w:val="left"/>
        <w:rPr>
          <w:rFonts w:ascii="宋体" w:hAnsi="宋体" w:cs="宋体"/>
          <w:kern w:val="0"/>
          <w:sz w:val="24"/>
          <w:szCs w:val="24"/>
        </w:rPr>
      </w:pPr>
    </w:p>
    <w:p>
      <w:pPr>
        <w:widowControl/>
        <w:spacing w:line="432" w:lineRule="auto"/>
        <w:jc w:val="left"/>
        <w:rPr>
          <w:rFonts w:ascii="宋体" w:hAnsi="宋体" w:cs="宋体"/>
          <w:kern w:val="0"/>
          <w:sz w:val="24"/>
          <w:szCs w:val="24"/>
        </w:rPr>
      </w:pPr>
    </w:p>
    <w:p>
      <w:pPr>
        <w:widowControl/>
        <w:spacing w:line="432" w:lineRule="auto"/>
        <w:jc w:val="left"/>
        <w:rPr>
          <w:rFonts w:ascii="宋体" w:hAnsi="宋体" w:cs="宋体"/>
          <w:kern w:val="0"/>
          <w:sz w:val="24"/>
          <w:szCs w:val="24"/>
        </w:rPr>
      </w:pPr>
    </w:p>
    <w:p>
      <w:pPr>
        <w:widowControl/>
        <w:spacing w:line="432" w:lineRule="auto"/>
        <w:jc w:val="left"/>
        <w:rPr>
          <w:rFonts w:ascii="宋体" w:hAnsi="宋体" w:cs="宋体"/>
          <w:kern w:val="0"/>
          <w:sz w:val="24"/>
          <w:szCs w:val="24"/>
        </w:rPr>
      </w:pPr>
    </w:p>
    <w:p>
      <w:pPr>
        <w:widowControl/>
        <w:spacing w:line="432" w:lineRule="auto"/>
        <w:jc w:val="left"/>
        <w:rPr>
          <w:rFonts w:ascii="宋体" w:hAnsi="宋体" w:cs="宋体"/>
          <w:kern w:val="0"/>
          <w:sz w:val="24"/>
          <w:szCs w:val="24"/>
        </w:rPr>
      </w:pPr>
    </w:p>
    <w:p>
      <w:pPr>
        <w:widowControl/>
        <w:spacing w:line="432" w:lineRule="auto"/>
        <w:jc w:val="left"/>
        <w:rPr>
          <w:rFonts w:ascii="宋体" w:hAnsi="宋体" w:cs="宋体"/>
          <w:kern w:val="0"/>
          <w:sz w:val="24"/>
          <w:szCs w:val="24"/>
        </w:rPr>
      </w:pPr>
    </w:p>
    <w:p>
      <w:pPr>
        <w:widowControl/>
        <w:spacing w:line="432" w:lineRule="auto"/>
        <w:jc w:val="left"/>
        <w:rPr>
          <w:rFonts w:ascii="宋体" w:hAnsi="宋体" w:cs="宋体"/>
          <w:kern w:val="0"/>
          <w:sz w:val="24"/>
          <w:szCs w:val="24"/>
        </w:rPr>
      </w:pPr>
    </w:p>
    <w:p>
      <w:pPr>
        <w:widowControl/>
        <w:spacing w:line="432" w:lineRule="auto"/>
        <w:jc w:val="left"/>
        <w:rPr>
          <w:rFonts w:ascii="宋体" w:hAnsi="宋体" w:cs="宋体"/>
          <w:kern w:val="0"/>
          <w:sz w:val="24"/>
          <w:szCs w:val="24"/>
        </w:rPr>
      </w:pPr>
    </w:p>
    <w:p>
      <w:pPr>
        <w:widowControl/>
        <w:spacing w:line="432" w:lineRule="auto"/>
        <w:rPr>
          <w:rFonts w:ascii="黑体" w:hAnsi="黑体" w:eastAsia="黑体" w:cs="宋体"/>
          <w:bCs/>
          <w:kern w:val="0"/>
          <w:sz w:val="32"/>
          <w:szCs w:val="24"/>
        </w:rPr>
      </w:pPr>
      <w:r>
        <w:rPr>
          <w:rFonts w:hint="eastAsia" w:ascii="黑体" w:hAnsi="黑体" w:eastAsia="黑体" w:cs="宋体"/>
          <w:bCs/>
          <w:kern w:val="0"/>
          <w:sz w:val="32"/>
          <w:szCs w:val="24"/>
        </w:rPr>
        <w:t>三、收到和处理政府信息公开申请情况</w:t>
      </w:r>
    </w:p>
    <w:tbl>
      <w:tblPr>
        <w:tblStyle w:val="8"/>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57"/>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32" w:type="dxa"/>
            <w:gridSpan w:val="3"/>
            <w:vMerge w:val="restart"/>
            <w:tcBorders>
              <w:top w:val="single" w:color="auto" w:sz="8" w:space="0"/>
              <w:left w:val="single" w:color="auto" w:sz="8" w:space="0"/>
              <w:bottom w:val="inset" w:color="auto" w:sz="6"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商业</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科研</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p>
        </w:tc>
        <w:tc>
          <w:tcPr>
            <w:tcW w:w="688" w:type="dxa"/>
            <w:vMerge w:val="continue"/>
            <w:tcBorders>
              <w:top w:val="single" w:color="auto" w:sz="8"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restart"/>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三、本年度办理结果</w:t>
            </w: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（三）不予公开</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（四）无法提供</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（五）不予处理</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779" w:hRule="atLeast"/>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inset" w:color="auto" w:sz="6"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inset" w:color="auto" w:sz="6"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（六）其他处理</w:t>
            </w: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bl>
    <w:p>
      <w:pPr>
        <w:widowControl/>
        <w:spacing w:line="432" w:lineRule="auto"/>
        <w:jc w:val="center"/>
        <w:rPr>
          <w:rFonts w:ascii="宋体" w:hAnsi="宋体" w:cs="宋体"/>
          <w:kern w:val="0"/>
          <w:sz w:val="24"/>
          <w:szCs w:val="24"/>
        </w:rPr>
      </w:pPr>
    </w:p>
    <w:p>
      <w:pPr>
        <w:widowControl/>
        <w:spacing w:line="432" w:lineRule="auto"/>
        <w:ind w:firstLine="480"/>
        <w:rPr>
          <w:rFonts w:ascii="黑体" w:hAnsi="黑体" w:eastAsia="黑体" w:cs="宋体"/>
          <w:bCs/>
          <w:kern w:val="0"/>
          <w:sz w:val="32"/>
          <w:szCs w:val="24"/>
        </w:rPr>
      </w:pPr>
      <w:r>
        <w:rPr>
          <w:rFonts w:hint="eastAsia" w:ascii="黑体" w:hAnsi="黑体" w:eastAsia="黑体" w:cs="宋体"/>
          <w:bCs/>
          <w:kern w:val="0"/>
          <w:sz w:val="32"/>
          <w:szCs w:val="24"/>
        </w:rPr>
        <w:t>四、政府信息公开行政复议、行政诉讼情况</w:t>
      </w:r>
    </w:p>
    <w:p>
      <w:pPr>
        <w:widowControl/>
        <w:spacing w:line="432" w:lineRule="auto"/>
        <w:jc w:val="center"/>
        <w:rPr>
          <w:rFonts w:ascii="宋体" w:hAnsi="宋体" w:cs="宋体"/>
          <w:kern w:val="0"/>
          <w:sz w:val="24"/>
          <w:szCs w:val="24"/>
        </w:rPr>
      </w:pPr>
    </w:p>
    <w:tbl>
      <w:tblPr>
        <w:tblStyle w:val="8"/>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0"/>
        <w:gridCol w:w="650"/>
        <w:gridCol w:w="650"/>
        <w:gridCol w:w="650"/>
        <w:gridCol w:w="649"/>
        <w:gridCol w:w="649"/>
        <w:gridCol w:w="650"/>
        <w:gridCol w:w="650"/>
        <w:gridCol w:w="650"/>
        <w:gridCol w:w="650"/>
        <w:gridCol w:w="650"/>
        <w:gridCol w:w="650"/>
        <w:gridCol w:w="650"/>
        <w:gridCol w:w="650"/>
      </w:tblGrid>
      <w:tr>
        <w:trPr>
          <w:jc w:val="center"/>
        </w:trPr>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49" w:type="dxa"/>
            <w:tcBorders>
              <w:top w:val="single" w:color="auto" w:sz="4" w:space="0"/>
              <w:left w:val="single" w:color="auto" w:sz="4" w:space="0"/>
              <w:bottom w:val="single" w:color="auto" w:sz="4" w:space="0"/>
              <w:right w:val="single" w:color="auto" w:sz="4"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50" w:type="dxa"/>
            <w:tcBorders>
              <w:top w:val="single" w:color="auto" w:sz="4" w:space="0"/>
              <w:left w:val="single" w:color="auto" w:sz="4" w:space="0"/>
              <w:bottom w:val="single" w:color="auto" w:sz="4" w:space="0"/>
              <w:right w:val="single" w:color="auto" w:sz="4"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rPr>
            </w:pPr>
            <w:r>
              <w:rPr>
                <w:rFonts w:hint="eastAsia" w:ascii="宋体" w:hAnsi="宋体" w:cs="宋体"/>
                <w:kern w:val="0"/>
              </w:rPr>
              <w:t>0</w:t>
            </w:r>
          </w:p>
        </w:tc>
      </w:tr>
    </w:tbl>
    <w:p>
      <w:pPr>
        <w:widowControl/>
        <w:spacing w:line="432" w:lineRule="auto"/>
        <w:jc w:val="left"/>
        <w:rPr>
          <w:rFonts w:ascii="宋体" w:hAnsi="宋体" w:cs="宋体"/>
          <w:kern w:val="0"/>
          <w:sz w:val="24"/>
          <w:szCs w:val="24"/>
        </w:rPr>
      </w:pPr>
    </w:p>
    <w:p>
      <w:pPr>
        <w:widowControl/>
        <w:spacing w:line="432" w:lineRule="auto"/>
        <w:ind w:firstLine="480"/>
        <w:rPr>
          <w:rFonts w:ascii="黑体" w:hAnsi="黑体" w:eastAsia="黑体" w:cs="宋体"/>
          <w:bCs/>
          <w:kern w:val="0"/>
          <w:sz w:val="32"/>
          <w:szCs w:val="24"/>
        </w:rPr>
      </w:pPr>
      <w:r>
        <w:rPr>
          <w:rFonts w:hint="eastAsia" w:ascii="黑体" w:hAnsi="黑体" w:eastAsia="黑体" w:cs="宋体"/>
          <w:bCs/>
          <w:kern w:val="0"/>
          <w:sz w:val="32"/>
          <w:szCs w:val="24"/>
        </w:rPr>
        <w:t>五、存在的主要问题及改进情况</w:t>
      </w:r>
    </w:p>
    <w:p>
      <w:pPr>
        <w:pStyle w:val="7"/>
        <w:shd w:val="clear" w:color="auto" w:fill="FFFFFF"/>
        <w:spacing w:before="0" w:beforeAutospacing="0" w:after="0" w:afterAutospacing="0"/>
        <w:ind w:firstLine="420"/>
        <w:rPr>
          <w:rFonts w:ascii="仿宋_GB2312" w:hAnsi="微软雅黑" w:eastAsia="仿宋_GB2312"/>
          <w:color w:val="333333"/>
          <w:sz w:val="32"/>
          <w:szCs w:val="32"/>
        </w:rPr>
      </w:pPr>
      <w:r>
        <w:rPr>
          <w:rFonts w:hint="eastAsia" w:ascii="仿宋_GB2312" w:hAnsi="微软雅黑" w:eastAsia="仿宋_GB2312"/>
          <w:color w:val="333333"/>
          <w:sz w:val="32"/>
          <w:szCs w:val="32"/>
        </w:rPr>
        <w:t>我办政务公开虽然取得一定成绩，但与上级要求和群众期盼相比，还存在一些差距和不足。一是信息主动公开机制还需要进一步完善；二是信息公开的质量把关还需要进一步严格；三是信息公开工作的专业化水平需要进一步提高。针对上述问题，我们将从以下几个方面着手改进：</w:t>
      </w:r>
    </w:p>
    <w:p>
      <w:pPr>
        <w:pStyle w:val="7"/>
        <w:shd w:val="clear" w:color="auto" w:fill="FFFFFF"/>
        <w:spacing w:before="0" w:beforeAutospacing="0" w:after="0" w:afterAutospacing="0"/>
        <w:ind w:firstLine="480"/>
        <w:rPr>
          <w:rFonts w:ascii="仿宋_GB2312" w:hAnsi="微软雅黑" w:eastAsia="仿宋_GB2312"/>
          <w:color w:val="333333"/>
          <w:sz w:val="32"/>
          <w:szCs w:val="32"/>
        </w:rPr>
      </w:pPr>
      <w:r>
        <w:rPr>
          <w:rFonts w:hint="eastAsia" w:ascii="仿宋_GB2312" w:hAnsi="微软雅黑" w:eastAsia="仿宋_GB2312"/>
          <w:color w:val="333333"/>
          <w:sz w:val="32"/>
          <w:szCs w:val="32"/>
        </w:rPr>
        <w:t>一是不断完善规范程序。不断深化政务信息公开工作，进一步完善政务公开相关制度，优化政务公开运行机制，提升信息公开的准确性、规范性、时效性。</w:t>
      </w:r>
    </w:p>
    <w:p>
      <w:pPr>
        <w:pStyle w:val="7"/>
        <w:shd w:val="clear" w:color="auto" w:fill="FFFFFF"/>
        <w:spacing w:before="0" w:beforeAutospacing="0" w:after="0" w:afterAutospacing="0"/>
        <w:ind w:firstLine="480"/>
        <w:rPr>
          <w:rFonts w:ascii="仿宋_GB2312" w:hAnsi="微软雅黑" w:eastAsia="仿宋_GB2312"/>
          <w:color w:val="333333"/>
          <w:sz w:val="32"/>
          <w:szCs w:val="32"/>
        </w:rPr>
      </w:pPr>
      <w:r>
        <w:rPr>
          <w:rFonts w:hint="eastAsia" w:ascii="仿宋_GB2312" w:hAnsi="微软雅黑" w:eastAsia="仿宋_GB2312"/>
          <w:color w:val="333333"/>
          <w:sz w:val="32"/>
          <w:szCs w:val="32"/>
        </w:rPr>
        <w:t>二是积极拓展发布形式。通过不同发布平台，利用各种图片、图表的运用，更多元化、更便捷化的方式满足公众对政府信息的可读性和易读性的需求，让公众能够更加明显地感受政府信息公开的成果。</w:t>
      </w:r>
    </w:p>
    <w:p>
      <w:pPr>
        <w:pStyle w:val="7"/>
        <w:shd w:val="clear" w:color="auto" w:fill="FFFFFF"/>
        <w:spacing w:before="0" w:beforeAutospacing="0" w:after="0" w:afterAutospacing="0"/>
        <w:ind w:firstLine="420"/>
        <w:rPr>
          <w:rFonts w:ascii="仿宋_GB2312" w:hAnsi="微软雅黑" w:eastAsia="仿宋_GB2312"/>
          <w:color w:val="333333"/>
          <w:sz w:val="32"/>
          <w:szCs w:val="32"/>
        </w:rPr>
      </w:pPr>
      <w:r>
        <w:rPr>
          <w:rFonts w:hint="eastAsia" w:ascii="仿宋_GB2312" w:hAnsi="微软雅黑" w:eastAsia="仿宋_GB2312"/>
          <w:color w:val="333333"/>
          <w:sz w:val="32"/>
          <w:szCs w:val="32"/>
        </w:rPr>
        <w:t>三是努力提高工作水平。积极组织工作人员参加业务培训，切实提高全员的信息公开意识和业务能力。</w:t>
      </w:r>
    </w:p>
    <w:p>
      <w:pPr>
        <w:widowControl/>
        <w:spacing w:line="432" w:lineRule="auto"/>
        <w:ind w:firstLine="480"/>
        <w:rPr>
          <w:rFonts w:ascii="黑体" w:hAnsi="黑体" w:eastAsia="黑体" w:cs="宋体"/>
          <w:kern w:val="0"/>
          <w:sz w:val="32"/>
          <w:szCs w:val="24"/>
        </w:rPr>
      </w:pPr>
      <w:r>
        <w:rPr>
          <w:rFonts w:hint="eastAsia" w:ascii="黑体" w:hAnsi="黑体" w:eastAsia="黑体" w:cs="宋体"/>
          <w:bCs/>
          <w:kern w:val="0"/>
          <w:sz w:val="32"/>
          <w:szCs w:val="24"/>
        </w:rPr>
        <w:t>六、其他需要报告的事项</w:t>
      </w:r>
    </w:p>
    <w:p>
      <w:pPr>
        <w:pStyle w:val="7"/>
        <w:shd w:val="clear" w:color="auto" w:fill="FFFFFF"/>
        <w:spacing w:before="0" w:beforeAutospacing="0" w:after="0" w:afterAutospacing="0"/>
        <w:ind w:firstLine="420"/>
        <w:rPr>
          <w:rFonts w:ascii="仿宋_GB2312" w:eastAsia="仿宋_GB2312" w:cs="Times New Roman"/>
          <w:sz w:val="32"/>
          <w:szCs w:val="32"/>
        </w:rPr>
      </w:pPr>
      <w:r>
        <w:rPr>
          <w:rFonts w:hint="eastAsia" w:ascii="仿宋_GB2312" w:hAnsi="微软雅黑" w:eastAsia="仿宋_GB2312"/>
          <w:color w:val="333333"/>
          <w:sz w:val="32"/>
          <w:szCs w:val="32"/>
        </w:rPr>
        <w:t>2021年，本单位未收取政府信息公开相关费用。</w:t>
      </w: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spacing w:line="360" w:lineRule="auto"/>
        <w:rPr>
          <w:rFonts w:ascii="仿宋_GB2312" w:hAnsi="宋体" w:eastAsia="仿宋_GB2312" w:cs="Times New Roman"/>
          <w:sz w:val="32"/>
          <w:szCs w:val="32"/>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方正小标宋简体">
    <w:panose1 w:val="02000000000000000000"/>
    <w:charset w:val="86"/>
    <w:family w:val="script"/>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A332F"/>
    <w:rsid w:val="00046F32"/>
    <w:rsid w:val="0006305C"/>
    <w:rsid w:val="000B0043"/>
    <w:rsid w:val="000C10ED"/>
    <w:rsid w:val="000D151D"/>
    <w:rsid w:val="000D71F1"/>
    <w:rsid w:val="000E3680"/>
    <w:rsid w:val="001B3F23"/>
    <w:rsid w:val="001B4610"/>
    <w:rsid w:val="001B4B48"/>
    <w:rsid w:val="001D2E04"/>
    <w:rsid w:val="001E0FC3"/>
    <w:rsid w:val="00233B8A"/>
    <w:rsid w:val="002E2696"/>
    <w:rsid w:val="002E3345"/>
    <w:rsid w:val="002E49C4"/>
    <w:rsid w:val="002F24DC"/>
    <w:rsid w:val="00314C9B"/>
    <w:rsid w:val="0039708E"/>
    <w:rsid w:val="003D6F53"/>
    <w:rsid w:val="003E294B"/>
    <w:rsid w:val="003F6EF7"/>
    <w:rsid w:val="003F7585"/>
    <w:rsid w:val="00420E10"/>
    <w:rsid w:val="00433F1E"/>
    <w:rsid w:val="00495B8A"/>
    <w:rsid w:val="004C43A0"/>
    <w:rsid w:val="004D3EC8"/>
    <w:rsid w:val="00524592"/>
    <w:rsid w:val="00540924"/>
    <w:rsid w:val="0056356B"/>
    <w:rsid w:val="006037E6"/>
    <w:rsid w:val="006138C0"/>
    <w:rsid w:val="006141D5"/>
    <w:rsid w:val="006218B3"/>
    <w:rsid w:val="006663EC"/>
    <w:rsid w:val="0070404A"/>
    <w:rsid w:val="0070486A"/>
    <w:rsid w:val="00705DBE"/>
    <w:rsid w:val="00742697"/>
    <w:rsid w:val="007955A6"/>
    <w:rsid w:val="007C0D10"/>
    <w:rsid w:val="007D0714"/>
    <w:rsid w:val="007D3FE1"/>
    <w:rsid w:val="00887EB3"/>
    <w:rsid w:val="008C785E"/>
    <w:rsid w:val="008E02E1"/>
    <w:rsid w:val="008E34FA"/>
    <w:rsid w:val="008F12D4"/>
    <w:rsid w:val="009240E2"/>
    <w:rsid w:val="00945403"/>
    <w:rsid w:val="009471CC"/>
    <w:rsid w:val="00950C7A"/>
    <w:rsid w:val="00966AEB"/>
    <w:rsid w:val="009A687A"/>
    <w:rsid w:val="009B1F67"/>
    <w:rsid w:val="009D41F4"/>
    <w:rsid w:val="00A008FA"/>
    <w:rsid w:val="00A144A0"/>
    <w:rsid w:val="00A21A2A"/>
    <w:rsid w:val="00A22363"/>
    <w:rsid w:val="00A37ED4"/>
    <w:rsid w:val="00A52B41"/>
    <w:rsid w:val="00A70FDC"/>
    <w:rsid w:val="00A84E5D"/>
    <w:rsid w:val="00A9579A"/>
    <w:rsid w:val="00AB50D5"/>
    <w:rsid w:val="00AE1202"/>
    <w:rsid w:val="00B25C04"/>
    <w:rsid w:val="00B73C6C"/>
    <w:rsid w:val="00B85D68"/>
    <w:rsid w:val="00B868AD"/>
    <w:rsid w:val="00B97F4C"/>
    <w:rsid w:val="00BB5BCE"/>
    <w:rsid w:val="00BC411B"/>
    <w:rsid w:val="00C01660"/>
    <w:rsid w:val="00C445AC"/>
    <w:rsid w:val="00C45602"/>
    <w:rsid w:val="00C930EA"/>
    <w:rsid w:val="00C95C1A"/>
    <w:rsid w:val="00CD7D0C"/>
    <w:rsid w:val="00CF10C3"/>
    <w:rsid w:val="00D520DA"/>
    <w:rsid w:val="00D56A53"/>
    <w:rsid w:val="00D749BE"/>
    <w:rsid w:val="00DA332F"/>
    <w:rsid w:val="00DF19AD"/>
    <w:rsid w:val="00E76EFE"/>
    <w:rsid w:val="00EB1AE9"/>
    <w:rsid w:val="00F04174"/>
    <w:rsid w:val="00F40AC5"/>
    <w:rsid w:val="00F560E3"/>
    <w:rsid w:val="00F8298F"/>
    <w:rsid w:val="00F834DF"/>
    <w:rsid w:val="00F91982"/>
    <w:rsid w:val="00FA5230"/>
    <w:rsid w:val="00FB354B"/>
    <w:rsid w:val="00FD4E84"/>
    <w:rsid w:val="020E6EBB"/>
    <w:rsid w:val="02447C72"/>
    <w:rsid w:val="03051984"/>
    <w:rsid w:val="05003DF9"/>
    <w:rsid w:val="05B20D58"/>
    <w:rsid w:val="06E82852"/>
    <w:rsid w:val="073B50B1"/>
    <w:rsid w:val="07625374"/>
    <w:rsid w:val="07B5684A"/>
    <w:rsid w:val="080C13C2"/>
    <w:rsid w:val="08813AAD"/>
    <w:rsid w:val="093C7589"/>
    <w:rsid w:val="09EB05D3"/>
    <w:rsid w:val="0A382C50"/>
    <w:rsid w:val="0D811433"/>
    <w:rsid w:val="0EC02DA0"/>
    <w:rsid w:val="10817822"/>
    <w:rsid w:val="118519F8"/>
    <w:rsid w:val="1279795D"/>
    <w:rsid w:val="12D95AD7"/>
    <w:rsid w:val="134E7088"/>
    <w:rsid w:val="13D169E2"/>
    <w:rsid w:val="13F2448D"/>
    <w:rsid w:val="148A2BC0"/>
    <w:rsid w:val="15B979C2"/>
    <w:rsid w:val="16B47DF4"/>
    <w:rsid w:val="16C90B70"/>
    <w:rsid w:val="16FE695A"/>
    <w:rsid w:val="170517E2"/>
    <w:rsid w:val="173805EB"/>
    <w:rsid w:val="174E114A"/>
    <w:rsid w:val="17841624"/>
    <w:rsid w:val="19855762"/>
    <w:rsid w:val="198D4848"/>
    <w:rsid w:val="1A363A0E"/>
    <w:rsid w:val="1A5D6335"/>
    <w:rsid w:val="1B2B236B"/>
    <w:rsid w:val="1B62359C"/>
    <w:rsid w:val="1BC03F17"/>
    <w:rsid w:val="1BEE3761"/>
    <w:rsid w:val="1CB30F21"/>
    <w:rsid w:val="23E2002F"/>
    <w:rsid w:val="25CF4697"/>
    <w:rsid w:val="26385BDF"/>
    <w:rsid w:val="26D94B49"/>
    <w:rsid w:val="283B7550"/>
    <w:rsid w:val="28EF7AB7"/>
    <w:rsid w:val="29051C5B"/>
    <w:rsid w:val="2966399E"/>
    <w:rsid w:val="2B646F1A"/>
    <w:rsid w:val="2B9F14E8"/>
    <w:rsid w:val="2BFF5405"/>
    <w:rsid w:val="2C451D2D"/>
    <w:rsid w:val="2D924E5C"/>
    <w:rsid w:val="2DEE002E"/>
    <w:rsid w:val="2E603BAD"/>
    <w:rsid w:val="2EF67098"/>
    <w:rsid w:val="2F0E58CB"/>
    <w:rsid w:val="2F134968"/>
    <w:rsid w:val="301973EF"/>
    <w:rsid w:val="3091013E"/>
    <w:rsid w:val="31CD20C4"/>
    <w:rsid w:val="329D32A1"/>
    <w:rsid w:val="33603C4B"/>
    <w:rsid w:val="3415190F"/>
    <w:rsid w:val="355063DA"/>
    <w:rsid w:val="368202C1"/>
    <w:rsid w:val="37C7238E"/>
    <w:rsid w:val="38153173"/>
    <w:rsid w:val="388440A6"/>
    <w:rsid w:val="38EB0A50"/>
    <w:rsid w:val="39550C8F"/>
    <w:rsid w:val="3D0831AD"/>
    <w:rsid w:val="3DAE273F"/>
    <w:rsid w:val="3E40410F"/>
    <w:rsid w:val="3F9E227E"/>
    <w:rsid w:val="453C66A3"/>
    <w:rsid w:val="462640A2"/>
    <w:rsid w:val="46E71F62"/>
    <w:rsid w:val="47E17389"/>
    <w:rsid w:val="47F02635"/>
    <w:rsid w:val="48BA3162"/>
    <w:rsid w:val="48CD7CF2"/>
    <w:rsid w:val="48CF1182"/>
    <w:rsid w:val="48E43FA6"/>
    <w:rsid w:val="49CE5EC7"/>
    <w:rsid w:val="49CF10B9"/>
    <w:rsid w:val="4A6C2095"/>
    <w:rsid w:val="4B8B65A5"/>
    <w:rsid w:val="4BCC53AA"/>
    <w:rsid w:val="4C25426E"/>
    <w:rsid w:val="4D8D55CF"/>
    <w:rsid w:val="4DED1613"/>
    <w:rsid w:val="4F496C18"/>
    <w:rsid w:val="4F51078F"/>
    <w:rsid w:val="51160A18"/>
    <w:rsid w:val="51465AD9"/>
    <w:rsid w:val="51895F4A"/>
    <w:rsid w:val="523C3ED5"/>
    <w:rsid w:val="53483CC1"/>
    <w:rsid w:val="53F577CC"/>
    <w:rsid w:val="54092BE1"/>
    <w:rsid w:val="54786EC8"/>
    <w:rsid w:val="54A82FC3"/>
    <w:rsid w:val="54AF7FD7"/>
    <w:rsid w:val="55594FAD"/>
    <w:rsid w:val="57044ED0"/>
    <w:rsid w:val="571C370A"/>
    <w:rsid w:val="57602C9A"/>
    <w:rsid w:val="577F009D"/>
    <w:rsid w:val="58307C5F"/>
    <w:rsid w:val="59CA48A3"/>
    <w:rsid w:val="5A4C7F66"/>
    <w:rsid w:val="5A9E234F"/>
    <w:rsid w:val="5AA86299"/>
    <w:rsid w:val="5C4C5890"/>
    <w:rsid w:val="5EFB518E"/>
    <w:rsid w:val="5F5F3CB4"/>
    <w:rsid w:val="5F6324CC"/>
    <w:rsid w:val="60A81824"/>
    <w:rsid w:val="62BA2877"/>
    <w:rsid w:val="63890F3D"/>
    <w:rsid w:val="64A977B5"/>
    <w:rsid w:val="66515271"/>
    <w:rsid w:val="673C2C8D"/>
    <w:rsid w:val="67437EFA"/>
    <w:rsid w:val="67D85387"/>
    <w:rsid w:val="68A869C0"/>
    <w:rsid w:val="68AE0A7C"/>
    <w:rsid w:val="68DB5F16"/>
    <w:rsid w:val="694C74CE"/>
    <w:rsid w:val="695C63BD"/>
    <w:rsid w:val="69B95989"/>
    <w:rsid w:val="69DE2FD7"/>
    <w:rsid w:val="6A7964C9"/>
    <w:rsid w:val="6A9A0475"/>
    <w:rsid w:val="6BD858FE"/>
    <w:rsid w:val="6C3E0B26"/>
    <w:rsid w:val="6C9327AE"/>
    <w:rsid w:val="6CE547B7"/>
    <w:rsid w:val="6F146FCA"/>
    <w:rsid w:val="713F7E36"/>
    <w:rsid w:val="71A06B88"/>
    <w:rsid w:val="72767C6A"/>
    <w:rsid w:val="74A22F42"/>
    <w:rsid w:val="750C03E9"/>
    <w:rsid w:val="76101441"/>
    <w:rsid w:val="769C1025"/>
    <w:rsid w:val="7A4931A2"/>
    <w:rsid w:val="7ADE3B13"/>
    <w:rsid w:val="7B4942E0"/>
    <w:rsid w:val="7B6206E6"/>
    <w:rsid w:val="7BBE1A87"/>
    <w:rsid w:val="7C7D7AC0"/>
    <w:rsid w:val="7CF9108D"/>
    <w:rsid w:val="7D4C6F93"/>
    <w:rsid w:val="7E434D17"/>
    <w:rsid w:val="7E9B7B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99"/>
    <w:pPr>
      <w:snapToGrid w:val="0"/>
      <w:spacing w:line="540" w:lineRule="exact"/>
      <w:ind w:firstLine="200" w:firstLineChars="200"/>
    </w:pPr>
    <w:rPr>
      <w:rFonts w:ascii="宋体" w:cs="宋体"/>
      <w:sz w:val="24"/>
      <w:szCs w:val="24"/>
    </w:rPr>
  </w:style>
  <w:style w:type="paragraph" w:styleId="3">
    <w:name w:val="Date"/>
    <w:basedOn w:val="1"/>
    <w:next w:val="1"/>
    <w:link w:val="17"/>
    <w:unhideWhenUsed/>
    <w:qFormat/>
    <w:uiPriority w:val="0"/>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b/>
      <w:bCs/>
    </w:rPr>
  </w:style>
  <w:style w:type="character" w:styleId="12">
    <w:name w:val="Hyperlink"/>
    <w:basedOn w:val="10"/>
    <w:qFormat/>
    <w:uiPriority w:val="99"/>
    <w:rPr>
      <w:color w:val="0000FF"/>
      <w:u w:val="single"/>
    </w:rPr>
  </w:style>
  <w:style w:type="character" w:customStyle="1" w:styleId="13">
    <w:name w:val="纯文本 Char"/>
    <w:basedOn w:val="10"/>
    <w:link w:val="2"/>
    <w:semiHidden/>
    <w:qFormat/>
    <w:uiPriority w:val="99"/>
    <w:rPr>
      <w:rFonts w:ascii="宋体" w:hAnsi="Courier New" w:cs="Courier New"/>
      <w:szCs w:val="21"/>
    </w:rPr>
  </w:style>
  <w:style w:type="character" w:customStyle="1" w:styleId="14">
    <w:name w:val="批注框文本 Char"/>
    <w:basedOn w:val="10"/>
    <w:link w:val="4"/>
    <w:qFormat/>
    <w:locked/>
    <w:uiPriority w:val="99"/>
    <w:rPr>
      <w:rFonts w:ascii="Calibri" w:hAnsi="Calibri" w:eastAsia="宋体" w:cs="Calibri"/>
      <w:kern w:val="2"/>
      <w:sz w:val="18"/>
      <w:szCs w:val="18"/>
    </w:rPr>
  </w:style>
  <w:style w:type="character" w:customStyle="1" w:styleId="15">
    <w:name w:val="页脚 Char"/>
    <w:basedOn w:val="10"/>
    <w:link w:val="5"/>
    <w:semiHidden/>
    <w:qFormat/>
    <w:uiPriority w:val="99"/>
    <w:rPr>
      <w:rFonts w:ascii="Calibri" w:hAnsi="Calibri" w:cs="Calibri"/>
      <w:sz w:val="18"/>
      <w:szCs w:val="18"/>
    </w:rPr>
  </w:style>
  <w:style w:type="character" w:customStyle="1" w:styleId="16">
    <w:name w:val="页眉 Char"/>
    <w:basedOn w:val="10"/>
    <w:link w:val="6"/>
    <w:semiHidden/>
    <w:qFormat/>
    <w:uiPriority w:val="99"/>
    <w:rPr>
      <w:rFonts w:ascii="Calibri" w:hAnsi="Calibri" w:cs="Calibri"/>
      <w:sz w:val="18"/>
      <w:szCs w:val="18"/>
    </w:rPr>
  </w:style>
  <w:style w:type="character" w:customStyle="1" w:styleId="17">
    <w:name w:val="日期 Char"/>
    <w:basedOn w:val="10"/>
    <w:link w:val="3"/>
    <w:semiHidden/>
    <w:qFormat/>
    <w:uiPriority w:val="0"/>
    <w:rPr>
      <w:rFonts w:ascii="Calibri" w:hAnsi="Calibri" w:cs="Calibri"/>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Pages>
  <Words>401</Words>
  <Characters>2291</Characters>
  <Lines>19</Lines>
  <Paragraphs>5</Paragraphs>
  <TotalTime>236</TotalTime>
  <ScaleCrop>false</ScaleCrop>
  <LinksUpToDate>false</LinksUpToDate>
  <CharactersWithSpaces>2687</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2022-01-05T14:37:00Z</dcterms:created>
  <dc:creator>lhm</dc:creator>
  <cp:lastModifiedBy>小胡来</cp:lastModifiedBy>
  <cp:lastPrinted>2019-12-23T16:38:00Z</cp:lastPrinted>
  <dcterms:modified xsi:type="dcterms:W3CDTF">2023-06-14T14:11:10Z</dcterms:modified>
  <dc:title>办</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0201EB18768B28C6FE59896426CB57DF_42</vt:lpwstr>
  </property>
</Properties>
</file>