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cs="宋体"/>
          <w:b/>
          <w:bCs/>
          <w:kern w:val="0"/>
          <w:sz w:val="36"/>
          <w:szCs w:val="36"/>
        </w:rPr>
      </w:pPr>
      <w:r>
        <w:rPr>
          <w:rFonts w:hint="eastAsia" w:ascii="宋体" w:hAnsi="宋体" w:cs="宋体"/>
          <w:b/>
          <w:bCs/>
          <w:kern w:val="0"/>
          <w:sz w:val="36"/>
          <w:szCs w:val="36"/>
        </w:rPr>
        <w:t>2020年政府信息公开工作年度报告</w:t>
      </w:r>
    </w:p>
    <w:p>
      <w:pPr>
        <w:widowControl/>
        <w:shd w:val="clear" w:color="auto" w:fill="FFFFFF"/>
        <w:jc w:val="center"/>
        <w:rPr>
          <w:rFonts w:ascii="宋体" w:hAnsi="宋体" w:cs="宋体"/>
          <w:kern w:val="0"/>
          <w:sz w:val="24"/>
          <w:szCs w:val="24"/>
        </w:rPr>
      </w:pPr>
      <w:r>
        <w:rPr>
          <w:rFonts w:hint="eastAsia" w:ascii="宋体" w:hAnsi="宋体" w:cs="宋体"/>
          <w:b/>
          <w:bCs/>
          <w:kern w:val="0"/>
          <w:sz w:val="24"/>
          <w:szCs w:val="24"/>
        </w:rPr>
        <w:t>（拱墅区政府办公室）</w:t>
      </w:r>
    </w:p>
    <w:p>
      <w:pPr>
        <w:widowControl/>
        <w:shd w:val="clear" w:color="auto" w:fill="FFFFFF"/>
        <w:ind w:firstLine="480"/>
        <w:rPr>
          <w:rFonts w:ascii="宋体" w:hAnsi="宋体" w:cs="宋体"/>
          <w:kern w:val="0"/>
          <w:sz w:val="24"/>
          <w:szCs w:val="24"/>
        </w:rPr>
      </w:pPr>
    </w:p>
    <w:p>
      <w:pPr>
        <w:widowControl/>
        <w:shd w:val="clear" w:color="auto" w:fill="FFFFFF"/>
        <w:spacing w:after="240"/>
        <w:ind w:firstLine="482" w:firstLineChars="200"/>
        <w:rPr>
          <w:rFonts w:ascii="宋体" w:hAnsi="宋体" w:cs="宋体"/>
          <w:b/>
          <w:kern w:val="0"/>
          <w:sz w:val="24"/>
          <w:szCs w:val="24"/>
        </w:rPr>
      </w:pPr>
      <w:r>
        <w:rPr>
          <w:rFonts w:hint="eastAsia" w:ascii="宋体" w:hAnsi="宋体" w:cs="宋体"/>
          <w:b/>
          <w:kern w:val="0"/>
          <w:sz w:val="24"/>
          <w:szCs w:val="24"/>
        </w:rPr>
        <w:t>一、总体情况</w:t>
      </w:r>
    </w:p>
    <w:p>
      <w:pPr>
        <w:keepNext w:val="0"/>
        <w:keepLines w:val="0"/>
        <w:pageBreakBefore w:val="0"/>
        <w:widowControl/>
        <w:shd w:val="clear" w:color="auto" w:fill="FFFFFF"/>
        <w:kinsoku/>
        <w:wordWrap/>
        <w:overflowPunct/>
        <w:topLinePunct w:val="0"/>
        <w:autoSpaceDE/>
        <w:autoSpaceDN/>
        <w:bidi w:val="0"/>
        <w:adjustRightInd/>
        <w:snapToGrid/>
        <w:spacing w:after="160"/>
        <w:ind w:firstLine="480" w:firstLineChars="200"/>
        <w:textAlignment w:val="auto"/>
        <w:rPr>
          <w:rFonts w:hint="eastAsia" w:ascii="宋体" w:hAnsi="宋体" w:cs="宋体"/>
          <w:b w:val="0"/>
          <w:bCs w:val="0"/>
          <w:kern w:val="0"/>
          <w:sz w:val="24"/>
          <w:szCs w:val="24"/>
        </w:rPr>
      </w:pPr>
      <w:r>
        <w:rPr>
          <w:rFonts w:hint="eastAsia" w:ascii="宋体" w:hAnsi="宋体" w:cs="宋体"/>
          <w:b w:val="0"/>
          <w:bCs w:val="0"/>
          <w:kern w:val="0"/>
          <w:sz w:val="24"/>
          <w:szCs w:val="24"/>
        </w:rPr>
        <w:t>2020年，拱墅</w:t>
      </w:r>
      <w:r>
        <w:rPr>
          <w:rFonts w:hint="eastAsia" w:ascii="宋体" w:hAnsi="宋体" w:cs="宋体"/>
          <w:b w:val="0"/>
          <w:bCs w:val="0"/>
          <w:kern w:val="0"/>
          <w:sz w:val="24"/>
          <w:szCs w:val="24"/>
          <w:lang w:eastAsia="zh-CN"/>
        </w:rPr>
        <w:t>区</w:t>
      </w:r>
      <w:r>
        <w:rPr>
          <w:rFonts w:hint="eastAsia" w:ascii="宋体" w:hAnsi="宋体" w:cs="宋体"/>
          <w:b w:val="0"/>
          <w:bCs w:val="0"/>
          <w:kern w:val="0"/>
          <w:sz w:val="24"/>
          <w:szCs w:val="24"/>
        </w:rPr>
        <w:t>人民政府办公室坚持以习近平新时代中国特色社会主义思想为指导，深入贯彻习近平总书记系列重要讲话精神，严格落实党中央</w:t>
      </w:r>
      <w:r>
        <w:rPr>
          <w:rFonts w:hint="default" w:ascii="宋体" w:hAnsi="宋体" w:cs="宋体"/>
          <w:b w:val="0"/>
          <w:bCs w:val="0"/>
          <w:kern w:val="0"/>
          <w:sz w:val="24"/>
          <w:szCs w:val="24"/>
        </w:rPr>
        <w:t>、</w:t>
      </w:r>
      <w:r>
        <w:rPr>
          <w:rFonts w:hint="eastAsia" w:ascii="宋体" w:hAnsi="宋体" w:cs="宋体"/>
          <w:b w:val="0"/>
          <w:bCs w:val="0"/>
          <w:kern w:val="0"/>
          <w:sz w:val="24"/>
          <w:szCs w:val="24"/>
        </w:rPr>
        <w:t>国务院、省委省政府关于全面推进政务公开标准化规范化工作的部署，全面落实《中华人民共和国政府信息公开条例》（以下简称《条例》）要求，聚焦社会公众需求，不断提高政府工作透明度，切实提升人民群众获得感和满意度。</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160"/>
        <w:ind w:firstLine="480" w:firstLineChars="200"/>
        <w:textAlignment w:val="auto"/>
        <w:rPr>
          <w:rFonts w:ascii="宋体" w:hAnsi="宋体" w:cs="宋体"/>
          <w:b w:val="0"/>
          <w:bCs w:val="0"/>
          <w:kern w:val="0"/>
          <w:sz w:val="24"/>
          <w:szCs w:val="24"/>
        </w:rPr>
      </w:pPr>
      <w:r>
        <w:rPr>
          <w:rFonts w:hint="eastAsia" w:ascii="宋体" w:hAnsi="宋体" w:cs="宋体"/>
          <w:b w:val="0"/>
          <w:bCs w:val="0"/>
          <w:kern w:val="0"/>
          <w:sz w:val="24"/>
          <w:szCs w:val="24"/>
        </w:rPr>
        <w:t>主动公开方面。聚焦法定内容，推进政务公开工作。认真履行全</w:t>
      </w:r>
      <w:r>
        <w:rPr>
          <w:rFonts w:hint="eastAsia" w:ascii="宋体" w:hAnsi="宋体" w:cs="宋体"/>
          <w:b w:val="0"/>
          <w:bCs w:val="0"/>
          <w:kern w:val="0"/>
          <w:sz w:val="24"/>
          <w:szCs w:val="24"/>
          <w:lang w:eastAsia="zh-CN"/>
        </w:rPr>
        <w:t>区</w:t>
      </w:r>
      <w:r>
        <w:rPr>
          <w:rFonts w:hint="eastAsia" w:ascii="宋体" w:hAnsi="宋体" w:cs="宋体"/>
          <w:b w:val="0"/>
          <w:bCs w:val="0"/>
          <w:kern w:val="0"/>
          <w:sz w:val="24"/>
          <w:szCs w:val="24"/>
        </w:rPr>
        <w:t>政府信息公开工作主管部门职责，严格执行《条例》第二十条的规定，通过“</w:t>
      </w:r>
      <w:r>
        <w:rPr>
          <w:rFonts w:hint="eastAsia" w:ascii="宋体" w:hAnsi="宋体" w:cs="宋体"/>
          <w:b w:val="0"/>
          <w:bCs w:val="0"/>
          <w:kern w:val="0"/>
          <w:sz w:val="24"/>
          <w:szCs w:val="24"/>
          <w:lang w:eastAsia="zh-CN"/>
        </w:rPr>
        <w:t>杭州市拱墅区人民政府</w:t>
      </w:r>
      <w:r>
        <w:rPr>
          <w:rFonts w:hint="eastAsia" w:ascii="宋体" w:hAnsi="宋体" w:cs="宋体"/>
          <w:b w:val="0"/>
          <w:bCs w:val="0"/>
          <w:kern w:val="0"/>
          <w:sz w:val="24"/>
          <w:szCs w:val="24"/>
        </w:rPr>
        <w:t>”门户网站依法公开各类</w:t>
      </w:r>
      <w:r>
        <w:rPr>
          <w:rFonts w:hint="eastAsia" w:ascii="宋体" w:hAnsi="宋体" w:cs="宋体"/>
          <w:b w:val="0"/>
          <w:bCs w:val="0"/>
          <w:color w:val="000000" w:themeColor="text1"/>
          <w:kern w:val="0"/>
          <w:sz w:val="24"/>
          <w:szCs w:val="24"/>
        </w:rPr>
        <w:t>政府信息130条，其中，规范性文件10条，政策解读10条，区府办文件18条，区政府文件17条，其他各类信息75条。按规定公开</w:t>
      </w:r>
      <w:r>
        <w:rPr>
          <w:rFonts w:hint="eastAsia" w:ascii="宋体" w:hAnsi="宋体" w:cs="宋体"/>
          <w:b w:val="0"/>
          <w:bCs w:val="0"/>
          <w:color w:val="000000" w:themeColor="text1"/>
          <w:kern w:val="0"/>
          <w:sz w:val="24"/>
          <w:szCs w:val="24"/>
          <w:lang w:eastAsia="zh-CN"/>
        </w:rPr>
        <w:t>机构设置、监督检查、行政执法、重点领域信息公开</w:t>
      </w:r>
      <w:r>
        <w:rPr>
          <w:rFonts w:hint="eastAsia" w:ascii="宋体" w:hAnsi="宋体" w:cs="宋体"/>
          <w:b w:val="0"/>
          <w:bCs w:val="0"/>
          <w:color w:val="000000" w:themeColor="text1"/>
          <w:kern w:val="0"/>
          <w:sz w:val="24"/>
          <w:szCs w:val="24"/>
        </w:rPr>
        <w:t>等信息，及时</w:t>
      </w:r>
      <w:r>
        <w:rPr>
          <w:rFonts w:hint="eastAsia" w:ascii="宋体" w:hAnsi="宋体" w:cs="宋体"/>
          <w:b w:val="0"/>
          <w:bCs w:val="0"/>
          <w:color w:val="000000" w:themeColor="text1"/>
          <w:kern w:val="0"/>
          <w:sz w:val="24"/>
          <w:szCs w:val="24"/>
          <w:lang w:eastAsia="zh-CN"/>
        </w:rPr>
        <w:t>公开政府工作、政策文件、规划计划</w:t>
      </w:r>
      <w:r>
        <w:rPr>
          <w:rFonts w:hint="eastAsia" w:ascii="宋体" w:hAnsi="宋体" w:cs="宋体"/>
          <w:b w:val="0"/>
          <w:bCs w:val="0"/>
          <w:color w:val="000000" w:themeColor="text1"/>
          <w:kern w:val="0"/>
          <w:sz w:val="24"/>
          <w:szCs w:val="24"/>
        </w:rPr>
        <w:t>、</w:t>
      </w:r>
      <w:r>
        <w:rPr>
          <w:rFonts w:hint="eastAsia" w:ascii="宋体" w:hAnsi="宋体" w:cs="宋体"/>
          <w:b w:val="0"/>
          <w:bCs w:val="0"/>
          <w:color w:val="000000" w:themeColor="text1"/>
          <w:kern w:val="0"/>
          <w:sz w:val="24"/>
          <w:szCs w:val="24"/>
          <w:lang w:eastAsia="zh-CN"/>
        </w:rPr>
        <w:t>资金信息</w:t>
      </w:r>
      <w:r>
        <w:rPr>
          <w:rFonts w:hint="eastAsia" w:ascii="宋体" w:hAnsi="宋体" w:cs="宋体"/>
          <w:b w:val="0"/>
          <w:bCs w:val="0"/>
          <w:color w:val="000000" w:themeColor="text1"/>
          <w:kern w:val="0"/>
          <w:sz w:val="24"/>
          <w:szCs w:val="24"/>
        </w:rPr>
        <w:t>、</w:t>
      </w:r>
      <w:r>
        <w:rPr>
          <w:rFonts w:hint="eastAsia" w:ascii="宋体" w:hAnsi="宋体" w:cs="宋体"/>
          <w:b w:val="0"/>
          <w:bCs w:val="0"/>
          <w:color w:val="000000" w:themeColor="text1"/>
          <w:kern w:val="0"/>
          <w:sz w:val="24"/>
          <w:szCs w:val="24"/>
          <w:lang w:eastAsia="zh-CN"/>
        </w:rPr>
        <w:t>人事信息</w:t>
      </w:r>
      <w:r>
        <w:rPr>
          <w:rFonts w:hint="eastAsia" w:ascii="宋体" w:hAnsi="宋体" w:cs="宋体"/>
          <w:b w:val="0"/>
          <w:bCs w:val="0"/>
          <w:color w:val="000000" w:themeColor="text1"/>
          <w:kern w:val="0"/>
          <w:sz w:val="24"/>
          <w:szCs w:val="24"/>
        </w:rPr>
        <w:t>等信息</w:t>
      </w:r>
      <w:r>
        <w:rPr>
          <w:rFonts w:hint="eastAsia" w:ascii="宋体" w:hAnsi="宋体" w:cs="宋体"/>
          <w:b w:val="0"/>
          <w:bCs w:val="0"/>
          <w:color w:val="000000" w:themeColor="text1"/>
          <w:kern w:val="0"/>
          <w:sz w:val="24"/>
          <w:szCs w:val="24"/>
          <w:lang w:eastAsia="zh-CN"/>
        </w:rPr>
        <w:t>，</w:t>
      </w:r>
      <w:r>
        <w:rPr>
          <w:rFonts w:hint="eastAsia" w:ascii="宋体" w:hAnsi="宋体" w:cs="宋体"/>
          <w:b w:val="0"/>
          <w:bCs w:val="0"/>
          <w:color w:val="000000" w:themeColor="text1"/>
          <w:kern w:val="0"/>
          <w:sz w:val="24"/>
          <w:szCs w:val="24"/>
        </w:rPr>
        <w:t>制定</w:t>
      </w:r>
      <w:r>
        <w:rPr>
          <w:rFonts w:hint="eastAsia" w:ascii="宋体" w:hAnsi="宋体" w:cs="宋体"/>
          <w:b w:val="0"/>
          <w:bCs w:val="0"/>
          <w:color w:val="000000" w:themeColor="text1"/>
          <w:kern w:val="0"/>
          <w:sz w:val="24"/>
          <w:szCs w:val="24"/>
          <w:lang w:eastAsia="zh-CN"/>
        </w:rPr>
        <w:t>拱墅区</w:t>
      </w:r>
      <w:r>
        <w:rPr>
          <w:rFonts w:hint="eastAsia" w:ascii="宋体" w:hAnsi="宋体" w:cs="宋体"/>
          <w:b w:val="0"/>
          <w:bCs w:val="0"/>
          <w:color w:val="000000" w:themeColor="text1"/>
          <w:kern w:val="0"/>
          <w:sz w:val="24"/>
          <w:szCs w:val="24"/>
        </w:rPr>
        <w:t>重大行政决策事项目录。开设“重点工作落实情况”专栏，按季向社会公开政府工作报告重点任务、民生实事项目</w:t>
      </w:r>
      <w:r>
        <w:rPr>
          <w:rFonts w:hint="eastAsia" w:ascii="宋体" w:hAnsi="宋体" w:cs="宋体"/>
          <w:b w:val="0"/>
          <w:bCs w:val="0"/>
          <w:color w:val="000000" w:themeColor="text1"/>
          <w:kern w:val="0"/>
          <w:sz w:val="24"/>
          <w:szCs w:val="24"/>
          <w:lang w:eastAsia="zh-CN"/>
        </w:rPr>
        <w:t>、</w:t>
      </w:r>
      <w:r>
        <w:rPr>
          <w:rFonts w:hint="eastAsia" w:ascii="宋体" w:hAnsi="宋体" w:cs="宋体"/>
          <w:b w:val="0"/>
          <w:bCs w:val="0"/>
          <w:color w:val="000000" w:themeColor="text1"/>
          <w:kern w:val="0"/>
          <w:sz w:val="24"/>
          <w:szCs w:val="24"/>
        </w:rPr>
        <w:t>政府绩效目标执行情况的开展情况。</w:t>
      </w:r>
    </w:p>
    <w:p>
      <w:pPr>
        <w:keepNext w:val="0"/>
        <w:keepLines w:val="0"/>
        <w:pageBreakBefore w:val="0"/>
        <w:numPr>
          <w:ilvl w:val="0"/>
          <w:numId w:val="1"/>
        </w:numPr>
        <w:kinsoku/>
        <w:wordWrap/>
        <w:overflowPunct/>
        <w:topLinePunct w:val="0"/>
        <w:autoSpaceDE/>
        <w:autoSpaceDN/>
        <w:bidi w:val="0"/>
        <w:adjustRightInd/>
        <w:snapToGrid/>
        <w:spacing w:after="160"/>
        <w:ind w:left="0" w:leftChars="0" w:firstLine="480" w:firstLineChars="200"/>
        <w:textAlignment w:val="auto"/>
        <w:rPr>
          <w:rFonts w:ascii="宋体" w:hAnsi="宋体" w:cs="宋体"/>
          <w:b w:val="0"/>
          <w:bCs w:val="0"/>
          <w:kern w:val="0"/>
          <w:sz w:val="24"/>
          <w:szCs w:val="24"/>
        </w:rPr>
      </w:pPr>
      <w:r>
        <w:rPr>
          <w:rFonts w:hint="eastAsia" w:ascii="宋体" w:hAnsi="宋体" w:cs="宋体"/>
          <w:b w:val="0"/>
          <w:bCs w:val="0"/>
          <w:kern w:val="0"/>
          <w:sz w:val="24"/>
          <w:szCs w:val="24"/>
        </w:rPr>
        <w:t>依申请公开方面。优化依申请工作流程。注重与申请人积极沟通，精准了解相关诉求，提高便民服务水平。</w:t>
      </w:r>
      <w:r>
        <w:rPr>
          <w:rFonts w:ascii="宋体" w:hAnsi="宋体" w:cs="宋体"/>
          <w:b w:val="0"/>
          <w:bCs w:val="0"/>
          <w:kern w:val="0"/>
          <w:sz w:val="24"/>
          <w:szCs w:val="24"/>
        </w:rPr>
        <w:t>开展全区政务公开专题培训2场，对新《政府信息公开条例》进行详细的解读，进一步强化依申请回复的法律意识、协调意识和时间意识，确保答复合法有据、流程规范合理、形式严肃严谨。</w:t>
      </w:r>
      <w:r>
        <w:rPr>
          <w:rFonts w:hint="eastAsia" w:ascii="宋体" w:hAnsi="宋体" w:cs="宋体"/>
          <w:b w:val="0"/>
          <w:bCs w:val="0"/>
          <w:kern w:val="0"/>
          <w:sz w:val="24"/>
          <w:szCs w:val="24"/>
        </w:rPr>
        <w:t>区政府共受理依申请公开41件,其中本年新收41件，上年结转0件，结转至下年办理</w:t>
      </w:r>
      <w:r>
        <w:rPr>
          <w:rFonts w:hint="eastAsia" w:ascii="宋体" w:hAnsi="宋体" w:cs="宋体"/>
          <w:b w:val="0"/>
          <w:bCs w:val="0"/>
          <w:kern w:val="0"/>
          <w:sz w:val="24"/>
          <w:szCs w:val="24"/>
          <w:lang w:val="en-US" w:eastAsia="zh-CN"/>
        </w:rPr>
        <w:t>0</w:t>
      </w:r>
      <w:r>
        <w:rPr>
          <w:rFonts w:hint="eastAsia" w:ascii="宋体" w:hAnsi="宋体" w:cs="宋体"/>
          <w:b w:val="0"/>
          <w:bCs w:val="0"/>
          <w:kern w:val="0"/>
          <w:sz w:val="24"/>
          <w:szCs w:val="24"/>
        </w:rPr>
        <w:t>件。</w:t>
      </w:r>
      <w:r>
        <w:rPr>
          <w:rFonts w:ascii="宋体" w:hAnsi="宋体" w:cs="宋体"/>
          <w:b w:val="0"/>
          <w:bCs w:val="0"/>
          <w:kern w:val="0"/>
          <w:sz w:val="24"/>
          <w:szCs w:val="24"/>
        </w:rPr>
        <w:t>2022年我区因政府信息公开工作被申请行政复议2件、提起行政诉讼0件。</w:t>
      </w:r>
    </w:p>
    <w:p>
      <w:pPr>
        <w:keepNext w:val="0"/>
        <w:keepLines w:val="0"/>
        <w:pageBreakBefore w:val="0"/>
        <w:numPr>
          <w:ilvl w:val="0"/>
          <w:numId w:val="1"/>
        </w:numPr>
        <w:kinsoku/>
        <w:wordWrap/>
        <w:overflowPunct/>
        <w:topLinePunct w:val="0"/>
        <w:autoSpaceDE/>
        <w:autoSpaceDN/>
        <w:bidi w:val="0"/>
        <w:adjustRightInd/>
        <w:snapToGrid/>
        <w:spacing w:after="160"/>
        <w:ind w:left="0" w:leftChars="0" w:firstLine="480" w:firstLineChars="200"/>
        <w:textAlignment w:val="auto"/>
        <w:rPr>
          <w:rFonts w:ascii="宋体" w:hAnsi="宋体" w:cs="宋体"/>
          <w:b w:val="0"/>
          <w:bCs w:val="0"/>
          <w:kern w:val="0"/>
          <w:sz w:val="24"/>
          <w:szCs w:val="24"/>
        </w:rPr>
      </w:pPr>
      <w:r>
        <w:rPr>
          <w:rFonts w:hint="eastAsia" w:ascii="宋体" w:hAnsi="宋体" w:cs="宋体"/>
          <w:b w:val="0"/>
          <w:bCs w:val="0"/>
          <w:kern w:val="0"/>
          <w:sz w:val="24"/>
          <w:szCs w:val="24"/>
        </w:rPr>
        <w:t>平台建设方面。推进政府网站集约化管理和政府信息公开专栏建设</w:t>
      </w:r>
      <w:r>
        <w:rPr>
          <w:rFonts w:hint="eastAsia" w:ascii="宋体" w:hAnsi="宋体" w:cs="宋体"/>
          <w:b w:val="0"/>
          <w:bCs w:val="0"/>
          <w:kern w:val="0"/>
          <w:sz w:val="24"/>
          <w:szCs w:val="24"/>
          <w:lang w:eastAsia="zh-CN"/>
        </w:rPr>
        <w:t>的监督管理工作</w:t>
      </w:r>
      <w:r>
        <w:rPr>
          <w:rFonts w:hint="eastAsia" w:ascii="宋体" w:hAnsi="宋体" w:cs="宋体"/>
          <w:b w:val="0"/>
          <w:bCs w:val="0"/>
          <w:kern w:val="0"/>
          <w:sz w:val="24"/>
          <w:szCs w:val="24"/>
        </w:rPr>
        <w:t>。按照统一标识、统一功能、统一管理的要求，推进数据</w:t>
      </w:r>
      <w:r>
        <w:rPr>
          <w:rFonts w:hint="eastAsia" w:ascii="宋体" w:hAnsi="宋体" w:cs="宋体"/>
          <w:b w:val="0"/>
          <w:bCs w:val="0"/>
          <w:kern w:val="0"/>
          <w:sz w:val="24"/>
          <w:szCs w:val="24"/>
          <w:lang w:eastAsia="zh-CN"/>
        </w:rPr>
        <w:t>和</w:t>
      </w:r>
      <w:r>
        <w:rPr>
          <w:rFonts w:hint="eastAsia" w:ascii="宋体" w:hAnsi="宋体" w:cs="宋体"/>
          <w:b w:val="0"/>
          <w:bCs w:val="0"/>
          <w:kern w:val="0"/>
          <w:sz w:val="24"/>
          <w:szCs w:val="24"/>
        </w:rPr>
        <w:t>服务融通。抓实管好政务新媒体</w:t>
      </w:r>
      <w:r>
        <w:rPr>
          <w:rFonts w:hint="eastAsia" w:ascii="宋体" w:hAnsi="宋体" w:cs="宋体"/>
          <w:b w:val="0"/>
          <w:bCs w:val="0"/>
          <w:kern w:val="0"/>
          <w:sz w:val="24"/>
          <w:szCs w:val="24"/>
          <w:lang w:eastAsia="zh-CN"/>
        </w:rPr>
        <w:t>，</w:t>
      </w:r>
      <w:r>
        <w:rPr>
          <w:rFonts w:hint="eastAsia" w:ascii="宋体" w:hAnsi="宋体" w:cs="宋体"/>
          <w:b w:val="0"/>
          <w:bCs w:val="0"/>
          <w:kern w:val="0"/>
          <w:sz w:val="24"/>
          <w:szCs w:val="24"/>
        </w:rPr>
        <w:t>清理整合不符合运营规范、用户关注度和利用率低的政务新媒体号</w:t>
      </w:r>
      <w:r>
        <w:rPr>
          <w:rFonts w:hint="eastAsia" w:ascii="宋体" w:hAnsi="宋体" w:cs="宋体"/>
          <w:b w:val="0"/>
          <w:bCs w:val="0"/>
          <w:kern w:val="0"/>
          <w:sz w:val="24"/>
          <w:szCs w:val="24"/>
          <w:lang w:eastAsia="zh-CN"/>
        </w:rPr>
        <w:t>，完成了全国政务新媒体信息报送系统和全省政务新媒体管理平台的备案登记。依托政务新媒体监测管理平台，建立注销、备案登记、上报、更新动态管理机制，实现信息统一推送和监管功能。</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160"/>
        <w:ind w:left="0" w:leftChars="0" w:firstLine="480" w:firstLineChars="200"/>
        <w:textAlignment w:val="auto"/>
        <w:rPr>
          <w:rFonts w:hint="eastAsia" w:ascii="宋体" w:hAnsi="宋体" w:cs="宋体"/>
          <w:b w:val="0"/>
          <w:bCs w:val="0"/>
          <w:kern w:val="0"/>
          <w:sz w:val="24"/>
          <w:szCs w:val="24"/>
        </w:rPr>
      </w:pPr>
      <w:r>
        <w:rPr>
          <w:rFonts w:hint="eastAsia" w:ascii="宋体" w:hAnsi="宋体" w:cs="宋体"/>
          <w:b w:val="0"/>
          <w:bCs w:val="0"/>
          <w:kern w:val="0"/>
          <w:sz w:val="24"/>
          <w:szCs w:val="24"/>
        </w:rPr>
        <w:t>政策解读和回应关切方面。强化政策解读，积极回应社会关切。严格落实解读材料和政策文件“同步研究、同步审签、同步发布”工作制度</w:t>
      </w:r>
      <w:r>
        <w:rPr>
          <w:rFonts w:hint="eastAsia" w:ascii="宋体" w:hAnsi="宋体" w:cs="宋体"/>
          <w:b w:val="0"/>
          <w:bCs w:val="0"/>
          <w:kern w:val="0"/>
          <w:sz w:val="24"/>
          <w:szCs w:val="24"/>
          <w:lang w:eastAsia="zh-CN"/>
        </w:rPr>
        <w:t>。通过门户网站</w:t>
      </w:r>
      <w:r>
        <w:rPr>
          <w:rFonts w:hint="eastAsia" w:ascii="宋体" w:hAnsi="宋体" w:cs="宋体"/>
          <w:b w:val="0"/>
          <w:bCs w:val="0"/>
          <w:kern w:val="0"/>
          <w:sz w:val="24"/>
          <w:szCs w:val="24"/>
        </w:rPr>
        <w:t>发布政策解读类稿件10篇，其中区主要领导和相关部门主要负责人均参与政策解读。全区共发布回应关切336次，其中新闻发布会2场、意见征求16次、民意反馈11条。公开人大建议办理情况138件、政协提案办理情况169件。对群众关切的社会热点积极正面回应疑虑，主动快速引导、释放权威信号</w:t>
      </w:r>
      <w:r>
        <w:rPr>
          <w:rFonts w:hint="eastAsia" w:ascii="宋体" w:hAnsi="宋体" w:cs="宋体"/>
          <w:b w:val="0"/>
          <w:bCs w:val="0"/>
          <w:kern w:val="0"/>
          <w:sz w:val="24"/>
          <w:szCs w:val="24"/>
          <w:lang w:eastAsia="zh-CN"/>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160"/>
        <w:ind w:left="0" w:leftChars="0" w:firstLine="480" w:firstLineChars="200"/>
        <w:textAlignment w:val="auto"/>
        <w:rPr>
          <w:rFonts w:hint="eastAsia" w:ascii="宋体" w:hAnsi="宋体" w:cs="宋体"/>
          <w:b w:val="0"/>
          <w:bCs w:val="0"/>
          <w:kern w:val="0"/>
          <w:sz w:val="24"/>
          <w:szCs w:val="24"/>
        </w:rPr>
      </w:pPr>
      <w:r>
        <w:rPr>
          <w:rFonts w:hint="eastAsia" w:ascii="宋体" w:hAnsi="宋体" w:cs="宋体"/>
          <w:b w:val="0"/>
          <w:bCs w:val="0"/>
          <w:kern w:val="0"/>
          <w:sz w:val="24"/>
          <w:szCs w:val="24"/>
        </w:rPr>
        <w:t>政府信息管理</w:t>
      </w:r>
      <w:r>
        <w:rPr>
          <w:rFonts w:hint="eastAsia" w:ascii="宋体" w:hAnsi="宋体" w:cs="宋体"/>
          <w:b w:val="0"/>
          <w:bCs w:val="0"/>
          <w:kern w:val="0"/>
          <w:sz w:val="24"/>
          <w:szCs w:val="24"/>
          <w:lang w:eastAsia="zh-CN"/>
        </w:rPr>
        <w:t>。健全审查、培训、台账管理等政府信息管理制度。认真贯彻落实办公室发布信息内部审查制度，按照起草、审核、发布流程对办公室信息进行全流程管理。把信息管理流程嵌入公文流转过程中，确保信息公开审查无遗漏。</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160"/>
        <w:ind w:left="0" w:leftChars="0" w:firstLine="480" w:firstLineChars="200"/>
        <w:textAlignment w:val="auto"/>
        <w:rPr>
          <w:rFonts w:ascii="宋体" w:hAnsi="宋体" w:cs="宋体"/>
          <w:b w:val="0"/>
          <w:bCs w:val="0"/>
          <w:kern w:val="0"/>
          <w:sz w:val="24"/>
          <w:szCs w:val="24"/>
        </w:rPr>
      </w:pPr>
      <w:r>
        <w:rPr>
          <w:rFonts w:hint="eastAsia" w:ascii="宋体" w:hAnsi="宋体" w:cs="宋体"/>
          <w:b w:val="0"/>
          <w:bCs w:val="0"/>
          <w:kern w:val="0"/>
          <w:sz w:val="24"/>
          <w:szCs w:val="24"/>
        </w:rPr>
        <w:t>监督保障方面。针对省政府办公厅政务公开工作考核评估中发现的问题，以条目式细化问题清单，督促相关责任部门逐一对照整改。健全监查机制，严格监管政务信息发布情况，对发现问题及时通报</w:t>
      </w:r>
      <w:r>
        <w:rPr>
          <w:rFonts w:hint="eastAsia" w:ascii="宋体" w:hAnsi="宋体" w:cs="宋体"/>
          <w:b w:val="0"/>
          <w:bCs w:val="0"/>
          <w:kern w:val="0"/>
          <w:sz w:val="24"/>
          <w:szCs w:val="24"/>
          <w:lang w:eastAsia="zh-CN"/>
        </w:rPr>
        <w:t>。对门户网站的政务公开发布情况进行监测，通过委托第三方进行问题排查，包括排查目录更新、内容上传、规范性以及空白栏目、错别字和错误链接等，及时排查信息发布过程中的细节问题，快速落实整改反馈，确保政府门户网站政务公开栏目常态化维护。</w:t>
      </w:r>
      <w:r>
        <w:rPr>
          <w:rFonts w:hint="eastAsia" w:ascii="宋体" w:hAnsi="宋体" w:cs="宋体"/>
          <w:b w:val="0"/>
          <w:bCs w:val="0"/>
          <w:kern w:val="0"/>
          <w:sz w:val="24"/>
          <w:szCs w:val="24"/>
        </w:rPr>
        <w:t>对外公布政府信息公开投诉举报电话，全年收到相关投诉举报1件。</w:t>
      </w:r>
    </w:p>
    <w:p>
      <w:pPr>
        <w:widowControl/>
        <w:shd w:val="clear" w:color="auto" w:fill="FFFFFF"/>
        <w:ind w:firstLine="482" w:firstLineChars="200"/>
        <w:rPr>
          <w:rFonts w:hint="eastAsia" w:ascii="宋体" w:hAnsi="宋体" w:cs="宋体"/>
          <w:b/>
          <w:bCs/>
          <w:color w:val="333333"/>
          <w:kern w:val="0"/>
          <w:sz w:val="24"/>
          <w:szCs w:val="24"/>
        </w:rPr>
      </w:pPr>
      <w:r>
        <w:rPr>
          <w:rFonts w:hint="eastAsia" w:ascii="宋体" w:hAnsi="宋体" w:cs="宋体"/>
          <w:b/>
          <w:bCs/>
          <w:color w:val="333333"/>
          <w:kern w:val="0"/>
          <w:sz w:val="24"/>
          <w:szCs w:val="24"/>
        </w:rPr>
        <w:t>二、主动公开政府信息情况</w:t>
      </w:r>
    </w:p>
    <w:p>
      <w:pPr>
        <w:widowControl/>
        <w:shd w:val="clear" w:color="auto" w:fill="FFFFFF"/>
        <w:ind w:firstLine="482" w:firstLineChars="200"/>
        <w:rPr>
          <w:rFonts w:ascii="宋体" w:hAnsi="宋体" w:cs="宋体"/>
          <w:b/>
          <w:bCs/>
          <w:color w:val="333333"/>
          <w:kern w:val="0"/>
          <w:sz w:val="24"/>
          <w:szCs w:val="24"/>
        </w:rPr>
      </w:pPr>
    </w:p>
    <w:tbl>
      <w:tblPr>
        <w:tblStyle w:val="8"/>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color w:val="000000"/>
                <w:sz w:val="24"/>
                <w:szCs w:val="24"/>
              </w:rPr>
            </w:pPr>
            <w:r>
              <w:rPr>
                <w:rFonts w:hint="eastAsia"/>
                <w:color w:val="00000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color w:val="000000"/>
                <w:sz w:val="24"/>
                <w:szCs w:val="24"/>
              </w:rPr>
            </w:pPr>
            <w:r>
              <w:rPr>
                <w:rFonts w:hint="eastAsia"/>
                <w:color w:val="00000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color w:val="000000"/>
                <w:sz w:val="24"/>
                <w:szCs w:val="24"/>
              </w:rPr>
            </w:pPr>
            <w:r>
              <w:rPr>
                <w:rFonts w:hint="eastAsia"/>
                <w:color w:val="000000"/>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default" w:eastAsia="宋体"/>
                <w:color w:val="000000"/>
                <w:lang w:val="en-US" w:eastAsia="zh-CN"/>
              </w:rPr>
            </w:pPr>
            <w:r>
              <w:rPr>
                <w:rFonts w:hint="eastAsia"/>
                <w:color w:val="000000"/>
                <w:lang w:val="en-US" w:eastAsia="zh-CN"/>
              </w:rPr>
              <w:t>10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eastAsia="宋体"/>
                <w:color w:val="000000"/>
                <w:lang w:val="en-US" w:eastAsia="zh-CN"/>
              </w:rPr>
            </w:pPr>
            <w:r>
              <w:rPr>
                <w:rFonts w:hint="eastAsia"/>
                <w:color w:val="000000"/>
                <w:lang w:val="en-US" w:eastAsia="zh-CN"/>
              </w:rPr>
              <w:t>10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color w:val="000000"/>
              </w:rPr>
            </w:pPr>
            <w:r>
              <w:rPr>
                <w:rFonts w:hint="eastAsia"/>
                <w:color w:val="000000"/>
              </w:rPr>
              <w:t>106</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color w:val="000000"/>
                <w:sz w:val="24"/>
                <w:szCs w:val="24"/>
              </w:rPr>
            </w:pPr>
            <w:r>
              <w:rPr>
                <w:rFonts w:hint="eastAsia"/>
                <w:color w:val="00000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color w:val="000000"/>
                <w:sz w:val="24"/>
                <w:szCs w:val="24"/>
              </w:rPr>
            </w:pPr>
            <w:r>
              <w:rPr>
                <w:rFonts w:hint="eastAsia"/>
                <w:color w:val="00000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color w:val="000000"/>
                <w:sz w:val="24"/>
                <w:szCs w:val="24"/>
              </w:rPr>
            </w:pPr>
            <w:r>
              <w:rPr>
                <w:rFonts w:hint="eastAsia"/>
                <w:color w:val="000000"/>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sz w:val="24"/>
                <w:szCs w:val="24"/>
              </w:rPr>
            </w:pPr>
            <w:r>
              <w:rPr>
                <w:rFonts w:hint="eastAsia"/>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sz w:val="24"/>
                <w:szCs w:val="24"/>
              </w:rPr>
            </w:pPr>
            <w:r>
              <w:rPr>
                <w:rFonts w:hint="eastAsia"/>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sz w:val="24"/>
                <w:szCs w:val="24"/>
              </w:rPr>
            </w:pPr>
            <w:r>
              <w:rPr>
                <w:rFonts w:hint="eastAsia"/>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color w:val="000000"/>
                <w:sz w:val="24"/>
                <w:szCs w:val="24"/>
              </w:rPr>
            </w:pPr>
            <w:r>
              <w:rPr>
                <w:rFonts w:hint="eastAsia"/>
                <w:color w:val="00000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color w:val="000000"/>
                <w:sz w:val="24"/>
                <w:szCs w:val="24"/>
              </w:rPr>
            </w:pPr>
            <w:r>
              <w:rPr>
                <w:rFonts w:hint="eastAsia"/>
                <w:color w:val="00000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color w:val="000000"/>
                <w:sz w:val="24"/>
                <w:szCs w:val="24"/>
              </w:rPr>
            </w:pPr>
            <w:r>
              <w:rPr>
                <w:rFonts w:hint="eastAsia"/>
                <w:color w:val="000000"/>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color w:val="000000"/>
                <w:sz w:val="24"/>
                <w:szCs w:val="24"/>
              </w:rPr>
            </w:pPr>
            <w:r>
              <w:rPr>
                <w:rFonts w:hint="eastAsia"/>
                <w:color w:val="00000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color w:val="000000"/>
                <w:sz w:val="24"/>
                <w:szCs w:val="24"/>
              </w:rPr>
            </w:pPr>
            <w:r>
              <w:rPr>
                <w:rFonts w:hint="eastAsia"/>
                <w:color w:val="00000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color w:val="000000"/>
                <w:sz w:val="24"/>
                <w:szCs w:val="24"/>
              </w:rPr>
            </w:pPr>
            <w:r>
              <w:rPr>
                <w:rFonts w:hint="eastAsia"/>
                <w:color w:val="000000"/>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color w:val="000000"/>
                <w:sz w:val="24"/>
                <w:szCs w:val="24"/>
              </w:rPr>
            </w:pPr>
            <w:r>
              <w:rPr>
                <w:rFonts w:hint="eastAsia"/>
                <w:color w:val="000000"/>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jc w:val="center"/>
              <w:rPr>
                <w:rFonts w:ascii="宋体" w:hAnsi="宋体" w:cs="宋体"/>
                <w:color w:val="000000"/>
                <w:sz w:val="24"/>
                <w:szCs w:val="24"/>
              </w:rPr>
            </w:pPr>
            <w:r>
              <w:rPr>
                <w:rFonts w:hint="eastAsia"/>
                <w:color w:val="000000"/>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rPr>
            </w:pPr>
            <w:r>
              <w:rPr>
                <w:rFonts w:hint="eastAsia" w:ascii="宋体" w:hAnsi="宋体" w:cs="宋体"/>
              </w:rPr>
              <w:t>22</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jc w:val="center"/>
              <w:rPr>
                <w:rFonts w:ascii="宋体" w:hAnsi="宋体" w:cs="宋体"/>
              </w:rPr>
            </w:pPr>
            <w:r>
              <w:rPr>
                <w:rFonts w:hint="eastAsia" w:ascii="宋体" w:hAnsi="宋体" w:cs="宋体"/>
              </w:rPr>
              <w:t>230.37万</w:t>
            </w:r>
          </w:p>
        </w:tc>
      </w:tr>
    </w:tbl>
    <w:p>
      <w:pPr>
        <w:widowControl/>
        <w:shd w:val="clear" w:color="auto" w:fill="FFFFFF"/>
        <w:ind w:firstLine="482" w:firstLineChars="200"/>
        <w:rPr>
          <w:rFonts w:ascii="宋体" w:hAnsi="宋体" w:cs="宋体"/>
          <w:b/>
          <w:bCs/>
          <w:color w:val="333333"/>
          <w:kern w:val="0"/>
          <w:sz w:val="24"/>
          <w:szCs w:val="24"/>
        </w:rPr>
      </w:pPr>
    </w:p>
    <w:p>
      <w:pPr>
        <w:widowControl/>
        <w:shd w:val="clear" w:color="auto" w:fill="FFFFFF"/>
        <w:ind w:firstLine="482" w:firstLineChars="200"/>
        <w:rPr>
          <w:rFonts w:hint="eastAsia" w:ascii="宋体" w:hAnsi="宋体" w:cs="宋体"/>
          <w:b/>
          <w:bCs/>
          <w:color w:val="333333"/>
          <w:kern w:val="0"/>
          <w:sz w:val="24"/>
          <w:szCs w:val="24"/>
        </w:rPr>
      </w:pPr>
      <w:r>
        <w:rPr>
          <w:rFonts w:hint="eastAsia" w:ascii="宋体" w:hAnsi="宋体" w:cs="宋体"/>
          <w:b/>
          <w:bCs/>
          <w:color w:val="333333"/>
          <w:kern w:val="0"/>
          <w:sz w:val="24"/>
          <w:szCs w:val="24"/>
        </w:rPr>
        <w:t>三、收到和处理政府信息公开申请情况</w:t>
      </w:r>
    </w:p>
    <w:p>
      <w:pPr>
        <w:widowControl/>
        <w:shd w:val="clear" w:color="auto" w:fill="FFFFFF"/>
        <w:ind w:firstLine="482" w:firstLineChars="200"/>
        <w:rPr>
          <w:rFonts w:ascii="宋体" w:hAnsi="宋体" w:cs="宋体"/>
          <w:b/>
          <w:bCs/>
          <w:color w:val="333333"/>
          <w:kern w:val="0"/>
          <w:sz w:val="24"/>
          <w:szCs w:val="24"/>
        </w:rPr>
      </w:pPr>
    </w:p>
    <w:tbl>
      <w:tblPr>
        <w:tblStyle w:val="8"/>
        <w:tblW w:w="9071" w:type="dxa"/>
        <w:jc w:val="center"/>
        <w:tblLayout w:type="autofit"/>
        <w:tblCellMar>
          <w:top w:w="0" w:type="dxa"/>
          <w:left w:w="0" w:type="dxa"/>
          <w:bottom w:w="0" w:type="dxa"/>
          <w:right w:w="0" w:type="dxa"/>
        </w:tblCellMar>
      </w:tblPr>
      <w:tblGrid>
        <w:gridCol w:w="617"/>
        <w:gridCol w:w="854"/>
        <w:gridCol w:w="2086"/>
        <w:gridCol w:w="795"/>
        <w:gridCol w:w="18"/>
        <w:gridCol w:w="755"/>
        <w:gridCol w:w="755"/>
        <w:gridCol w:w="813"/>
        <w:gridCol w:w="973"/>
        <w:gridCol w:w="711"/>
        <w:gridCol w:w="694"/>
      </w:tblGrid>
      <w:tr>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（本列数据的勾稽关系为：第一项加第二项之和，等于第三项加第四项之和）</w:t>
            </w:r>
          </w:p>
        </w:tc>
        <w:tc>
          <w:tcPr>
            <w:tcW w:w="5514" w:type="dxa"/>
            <w:gridSpan w:val="8"/>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13"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gridSpan w:val="2"/>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81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color w:val="000000"/>
                <w:sz w:val="24"/>
                <w:szCs w:val="24"/>
              </w:rPr>
            </w:pPr>
            <w:r>
              <w:rPr>
                <w:rFonts w:hint="eastAsia"/>
                <w:color w:val="000000"/>
              </w:rPr>
              <w:t>36</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5</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41</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81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r>
      <w:tr>
        <w:tblPrEx>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000000"/>
                <w:sz w:val="24"/>
                <w:szCs w:val="24"/>
              </w:rPr>
            </w:pPr>
            <w:r>
              <w:rPr>
                <w:rFonts w:hint="eastAsia"/>
                <w:color w:val="000000"/>
              </w:rPr>
              <w:t>（一）予以公开</w:t>
            </w:r>
          </w:p>
        </w:tc>
        <w:tc>
          <w:tcPr>
            <w:tcW w:w="81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4</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5</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000000"/>
                <w:sz w:val="24"/>
                <w:szCs w:val="24"/>
              </w:rPr>
            </w:pPr>
            <w:r>
              <w:rPr>
                <w:rFonts w:hint="eastAsia"/>
                <w:color w:val="000000"/>
              </w:rPr>
              <w:t>（二）部分公开（区分处理的，只计这一情形，不计其他情形）</w:t>
            </w:r>
          </w:p>
        </w:tc>
        <w:tc>
          <w:tcPr>
            <w:tcW w:w="81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2</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color w:val="000000"/>
                <w:sz w:val="24"/>
                <w:szCs w:val="24"/>
              </w:rPr>
            </w:pPr>
            <w:r>
              <w:rPr>
                <w:rFonts w:hint="eastAsia"/>
                <w:color w:val="00000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000000"/>
                <w:sz w:val="24"/>
                <w:szCs w:val="24"/>
              </w:rPr>
            </w:pPr>
            <w:r>
              <w:rPr>
                <w:rFonts w:hint="eastAsia"/>
                <w:color w:val="000000"/>
              </w:rPr>
              <w:t>1.属于国家秘密</w:t>
            </w:r>
          </w:p>
        </w:tc>
        <w:tc>
          <w:tcPr>
            <w:tcW w:w="81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color w:val="000000"/>
              </w:rPr>
              <w:t>2.其他法律行政法规禁止公开</w:t>
            </w:r>
          </w:p>
        </w:tc>
        <w:tc>
          <w:tcPr>
            <w:tcW w:w="81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color w:val="000000"/>
              </w:rPr>
              <w:t>3.危及“三安全一稳定”</w:t>
            </w:r>
          </w:p>
        </w:tc>
        <w:tc>
          <w:tcPr>
            <w:tcW w:w="81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color w:val="000000"/>
              </w:rPr>
              <w:t>4.保护第三方合法权益</w:t>
            </w:r>
          </w:p>
        </w:tc>
        <w:tc>
          <w:tcPr>
            <w:tcW w:w="81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color w:val="000000"/>
              </w:rPr>
              <w:t>5.属于三类内部事务信息</w:t>
            </w:r>
          </w:p>
        </w:tc>
        <w:tc>
          <w:tcPr>
            <w:tcW w:w="81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eastAsia="宋体"/>
                <w:color w:val="000000"/>
                <w:lang w:eastAsia="zh-CN"/>
              </w:rPr>
            </w:pPr>
            <w:r>
              <w:rPr>
                <w:rFonts w:hint="eastAsia"/>
                <w:color w:val="000000"/>
                <w:lang w:val="en-US" w:eastAsia="zh-CN"/>
              </w:rPr>
              <w:t>2</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eastAsia="宋体"/>
                <w:color w:val="000000"/>
                <w:lang w:eastAsia="zh-CN"/>
              </w:rPr>
            </w:pPr>
            <w:r>
              <w:rPr>
                <w:rFonts w:hint="eastAsia"/>
                <w:color w:val="000000"/>
                <w:lang w:val="en-US" w:eastAsia="zh-CN"/>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color w:val="000000"/>
              </w:rPr>
              <w:t>6.属于四类过程性信息</w:t>
            </w:r>
          </w:p>
        </w:tc>
        <w:tc>
          <w:tcPr>
            <w:tcW w:w="81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color w:val="000000"/>
              </w:rPr>
              <w:t>7.属于行政执法案卷</w:t>
            </w:r>
          </w:p>
        </w:tc>
        <w:tc>
          <w:tcPr>
            <w:tcW w:w="81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color w:val="000000"/>
              </w:rPr>
              <w:t>8.属于行政查询事项</w:t>
            </w:r>
          </w:p>
        </w:tc>
        <w:tc>
          <w:tcPr>
            <w:tcW w:w="81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3</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3</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color w:val="000000"/>
                <w:sz w:val="24"/>
                <w:szCs w:val="24"/>
              </w:rPr>
            </w:pPr>
            <w:r>
              <w:rPr>
                <w:rFonts w:hint="eastAsia"/>
                <w:color w:val="00000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000000"/>
                <w:sz w:val="24"/>
                <w:szCs w:val="24"/>
              </w:rPr>
            </w:pPr>
            <w:r>
              <w:rPr>
                <w:rFonts w:hint="eastAsia"/>
                <w:color w:val="000000"/>
              </w:rPr>
              <w:t>1.本机关不掌握相关政府信息</w:t>
            </w:r>
          </w:p>
        </w:tc>
        <w:tc>
          <w:tcPr>
            <w:tcW w:w="81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eastAsia="宋体"/>
                <w:color w:val="000000"/>
                <w:lang w:val="en-US" w:eastAsia="zh-CN"/>
              </w:rPr>
            </w:pPr>
            <w:r>
              <w:rPr>
                <w:rFonts w:hint="eastAsia"/>
                <w:color w:val="000000"/>
                <w:lang w:val="en-US" w:eastAsia="zh-CN"/>
              </w:rPr>
              <w:t>20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4</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eastAsia="宋体"/>
                <w:color w:val="000000"/>
                <w:lang w:val="en-US" w:eastAsia="zh-CN"/>
              </w:rPr>
            </w:pPr>
            <w:r>
              <w:rPr>
                <w:rFonts w:hint="eastAsia"/>
                <w:color w:val="000000"/>
                <w:lang w:val="en-US" w:eastAsia="zh-CN"/>
              </w:rPr>
              <w:t>24</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color w:val="000000"/>
              </w:rPr>
              <w:t>2.没有现成信息需要另行制作</w:t>
            </w:r>
          </w:p>
        </w:tc>
        <w:tc>
          <w:tcPr>
            <w:tcW w:w="81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color w:val="000000"/>
              </w:rPr>
              <w:t>3.补正后申请内容仍不明确</w:t>
            </w:r>
          </w:p>
        </w:tc>
        <w:tc>
          <w:tcPr>
            <w:tcW w:w="81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color w:val="000000"/>
                <w:sz w:val="24"/>
                <w:szCs w:val="24"/>
              </w:rPr>
            </w:pPr>
            <w:r>
              <w:rPr>
                <w:rFonts w:hint="eastAsia"/>
                <w:color w:val="00000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000000"/>
                <w:sz w:val="24"/>
                <w:szCs w:val="24"/>
              </w:rPr>
            </w:pPr>
            <w:r>
              <w:rPr>
                <w:rFonts w:hint="eastAsia"/>
                <w:color w:val="000000"/>
              </w:rPr>
              <w:t>1.信访举报投诉类申请</w:t>
            </w: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1</w:t>
            </w:r>
          </w:p>
        </w:tc>
        <w:tc>
          <w:tcPr>
            <w:tcW w:w="77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color w:val="000000"/>
              </w:rPr>
              <w:t>2.重复申请</w:t>
            </w: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7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color w:val="000000"/>
              </w:rPr>
              <w:t>3.要求提供公开出版物</w:t>
            </w: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7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color w:val="000000"/>
              </w:rPr>
              <w:t>4.无正当理由大量反复申请</w:t>
            </w: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7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color w:val="000000"/>
              </w:rPr>
              <w:t>5.要求行政机关确认或重新出具已获取信息</w:t>
            </w: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7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000000"/>
                <w:sz w:val="24"/>
                <w:szCs w:val="24"/>
              </w:rPr>
            </w:pPr>
            <w:r>
              <w:rPr>
                <w:rFonts w:hint="eastAsia"/>
                <w:color w:val="000000"/>
              </w:rPr>
              <w:t>（六）其他处理</w:t>
            </w: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eastAsia="宋体"/>
                <w:color w:val="000000"/>
                <w:lang w:eastAsia="zh-CN"/>
              </w:rPr>
            </w:pPr>
            <w:r>
              <w:rPr>
                <w:rFonts w:hint="eastAsia"/>
                <w:color w:val="000000"/>
                <w:lang w:val="en-US" w:eastAsia="zh-CN"/>
              </w:rPr>
              <w:t>4</w:t>
            </w:r>
          </w:p>
        </w:tc>
        <w:tc>
          <w:tcPr>
            <w:tcW w:w="77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eastAsia="宋体"/>
                <w:color w:val="000000"/>
                <w:lang w:eastAsia="zh-CN"/>
              </w:rPr>
            </w:pPr>
            <w:r>
              <w:rPr>
                <w:rFonts w:hint="eastAsia"/>
                <w:color w:val="000000"/>
                <w:lang w:val="en-US" w:eastAsia="zh-CN"/>
              </w:rPr>
              <w:t>4</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color w:val="000000"/>
                <w:sz w:val="24"/>
                <w:szCs w:val="24"/>
              </w:rPr>
            </w:pPr>
            <w:r>
              <w:rPr>
                <w:rFonts w:hint="eastAsia"/>
                <w:color w:val="000000"/>
              </w:rPr>
              <w:t>（七）总计</w:t>
            </w: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eastAsia="宋体"/>
                <w:color w:val="000000"/>
                <w:lang w:val="en-US" w:eastAsia="zh-CN"/>
              </w:rPr>
            </w:pPr>
            <w:r>
              <w:rPr>
                <w:rFonts w:hint="eastAsia"/>
                <w:color w:val="000000"/>
                <w:lang w:val="en-US" w:eastAsia="zh-CN"/>
              </w:rPr>
              <w:t>36</w:t>
            </w:r>
          </w:p>
        </w:tc>
        <w:tc>
          <w:tcPr>
            <w:tcW w:w="77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5</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eastAsia="宋体"/>
                <w:color w:val="000000"/>
                <w:lang w:val="en-US" w:eastAsia="zh-CN"/>
              </w:rPr>
            </w:pPr>
            <w:r>
              <w:rPr>
                <w:rFonts w:hint="eastAsia"/>
                <w:color w:val="000000"/>
                <w:lang w:val="en-US" w:eastAsia="zh-CN"/>
              </w:rPr>
              <w:t>41</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四、结转下年度继续办理</w:t>
            </w: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eastAsia="宋体"/>
                <w:color w:val="000000"/>
                <w:lang w:eastAsia="zh-CN"/>
              </w:rPr>
            </w:pPr>
            <w:r>
              <w:rPr>
                <w:rFonts w:hint="eastAsia"/>
                <w:color w:val="000000"/>
                <w:lang w:val="en-US" w:eastAsia="zh-CN"/>
              </w:rPr>
              <w:t>0</w:t>
            </w:r>
          </w:p>
        </w:tc>
        <w:tc>
          <w:tcPr>
            <w:tcW w:w="77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eastAsia="宋体"/>
                <w:color w:val="000000"/>
                <w:lang w:eastAsia="zh-CN"/>
              </w:rPr>
            </w:pPr>
            <w:r>
              <w:rPr>
                <w:rFonts w:hint="eastAsia"/>
                <w:color w:val="000000"/>
                <w:lang w:val="en-US" w:eastAsia="zh-CN"/>
              </w:rPr>
              <w:t>0</w:t>
            </w:r>
          </w:p>
        </w:tc>
      </w:tr>
    </w:tbl>
    <w:p>
      <w:pPr>
        <w:widowControl/>
        <w:shd w:val="clear" w:color="auto" w:fill="FFFFFF"/>
        <w:ind w:firstLine="480" w:firstLineChars="200"/>
        <w:rPr>
          <w:rFonts w:ascii="宋体" w:hAnsi="宋体" w:cs="宋体"/>
          <w:color w:val="333333"/>
          <w:kern w:val="0"/>
          <w:sz w:val="24"/>
          <w:szCs w:val="24"/>
        </w:rPr>
      </w:pPr>
    </w:p>
    <w:p>
      <w:pPr>
        <w:widowControl/>
        <w:shd w:val="clear" w:color="auto" w:fill="FFFFFF"/>
        <w:spacing w:after="240"/>
        <w:ind w:firstLine="482" w:firstLineChars="200"/>
        <w:rPr>
          <w:rFonts w:ascii="宋体" w:hAnsi="宋体" w:cs="宋体"/>
          <w:color w:val="333333"/>
          <w:kern w:val="0"/>
          <w:sz w:val="24"/>
          <w:szCs w:val="24"/>
        </w:rPr>
      </w:pPr>
      <w:r>
        <w:rPr>
          <w:rFonts w:hint="eastAsia" w:ascii="宋体" w:hAnsi="宋体" w:cs="宋体"/>
          <w:b/>
          <w:bCs/>
          <w:color w:val="333333"/>
          <w:kern w:val="0"/>
          <w:sz w:val="24"/>
          <w:szCs w:val="24"/>
        </w:rPr>
        <w:t>四、政府信息公开行政复议、行政诉讼情况</w:t>
      </w:r>
    </w:p>
    <w:tbl>
      <w:tblPr>
        <w:tblStyle w:val="8"/>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2</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2</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1</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1</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color w:val="000000"/>
              </w:rPr>
            </w:pPr>
            <w:r>
              <w:rPr>
                <w:rFonts w:hint="eastAsia"/>
                <w:color w:val="000000"/>
              </w:rPr>
              <w:t>0</w:t>
            </w:r>
          </w:p>
        </w:tc>
      </w:tr>
    </w:tbl>
    <w:p>
      <w:pPr>
        <w:widowControl/>
        <w:shd w:val="clear" w:color="auto" w:fill="FFFFFF"/>
        <w:ind w:firstLine="482" w:firstLineChars="200"/>
        <w:rPr>
          <w:rFonts w:ascii="宋体" w:hAnsi="宋体" w:cs="宋体"/>
          <w:b/>
          <w:bCs/>
          <w:color w:val="333333"/>
          <w:kern w:val="0"/>
          <w:sz w:val="24"/>
          <w:szCs w:val="24"/>
        </w:rPr>
      </w:pPr>
    </w:p>
    <w:p>
      <w:pPr>
        <w:widowControl/>
        <w:shd w:val="clear" w:color="auto" w:fill="FFFFFF"/>
        <w:spacing w:after="240"/>
        <w:ind w:firstLine="482" w:firstLineChars="200"/>
        <w:rPr>
          <w:rFonts w:ascii="宋体" w:hAnsi="宋体" w:cs="宋体"/>
          <w:b w:val="0"/>
          <w:bCs w:val="0"/>
          <w:color w:val="333333"/>
          <w:kern w:val="0"/>
          <w:sz w:val="24"/>
          <w:szCs w:val="24"/>
        </w:rPr>
      </w:pPr>
      <w:r>
        <w:rPr>
          <w:rFonts w:hint="eastAsia" w:ascii="宋体" w:hAnsi="宋体" w:cs="宋体"/>
          <w:b/>
          <w:bCs/>
          <w:color w:val="333333"/>
          <w:kern w:val="0"/>
          <w:sz w:val="24"/>
          <w:szCs w:val="24"/>
        </w:rPr>
        <w:t>五、存在的主要问题及改进情况</w:t>
      </w:r>
    </w:p>
    <w:p>
      <w:pPr>
        <w:widowControl/>
        <w:shd w:val="clear" w:color="auto" w:fill="FFFFFF"/>
        <w:ind w:firstLine="480" w:firstLineChars="200"/>
        <w:rPr>
          <w:rFonts w:hint="eastAsia" w:ascii="宋体" w:hAnsi="宋体" w:cs="宋体"/>
          <w:b w:val="0"/>
          <w:bCs w:val="0"/>
          <w:kern w:val="0"/>
          <w:sz w:val="24"/>
          <w:szCs w:val="24"/>
          <w:lang w:eastAsia="zh-CN"/>
        </w:rPr>
      </w:pPr>
      <w:r>
        <w:rPr>
          <w:rFonts w:hint="eastAsia" w:ascii="宋体" w:hAnsi="宋体" w:cs="宋体"/>
          <w:b w:val="0"/>
          <w:bCs w:val="0"/>
          <w:kern w:val="0"/>
          <w:sz w:val="24"/>
          <w:szCs w:val="24"/>
        </w:rPr>
        <w:t>2020年是全面建成小康社会和“十三五”规划收官之年。对照新时代政务公开工作面临的新形势、新任务、新要求和人民群众期盼，</w:t>
      </w:r>
      <w:r>
        <w:rPr>
          <w:rFonts w:ascii="宋体" w:hAnsi="宋体" w:cs="宋体"/>
          <w:b w:val="0"/>
          <w:bCs w:val="0"/>
          <w:kern w:val="0"/>
          <w:sz w:val="24"/>
          <w:szCs w:val="24"/>
        </w:rPr>
        <w:t>区政府办公室信息公开工作取得了一定的成绩，但仍存在一些不足，</w:t>
      </w:r>
      <w:r>
        <w:rPr>
          <w:rFonts w:hint="eastAsia" w:ascii="宋体" w:hAnsi="宋体" w:cs="宋体"/>
          <w:b w:val="0"/>
          <w:bCs w:val="0"/>
          <w:kern w:val="0"/>
          <w:sz w:val="24"/>
          <w:szCs w:val="24"/>
        </w:rPr>
        <w:t>如公开意识不够</w:t>
      </w:r>
      <w:r>
        <w:rPr>
          <w:rFonts w:hint="eastAsia" w:ascii="宋体" w:hAnsi="宋体" w:cs="宋体"/>
          <w:b w:val="0"/>
          <w:bCs w:val="0"/>
          <w:kern w:val="0"/>
          <w:sz w:val="24"/>
          <w:szCs w:val="24"/>
          <w:lang w:eastAsia="zh-CN"/>
        </w:rPr>
        <w:t>，信息公开质量还有待提高，平台渠道管理和服务水平有待提升等。</w:t>
      </w:r>
    </w:p>
    <w:p>
      <w:pPr>
        <w:widowControl/>
        <w:shd w:val="clear" w:color="auto" w:fill="FFFFFF"/>
        <w:ind w:firstLine="480" w:firstLineChars="200"/>
        <w:rPr>
          <w:rFonts w:ascii="宋体" w:hAnsi="宋体" w:cs="宋体"/>
          <w:b w:val="0"/>
          <w:bCs w:val="0"/>
          <w:kern w:val="0"/>
          <w:sz w:val="24"/>
          <w:szCs w:val="24"/>
        </w:rPr>
      </w:pPr>
      <w:r>
        <w:rPr>
          <w:rFonts w:hint="eastAsia" w:ascii="宋体" w:hAnsi="宋体" w:cs="宋体"/>
          <w:b w:val="0"/>
          <w:bCs w:val="0"/>
          <w:kern w:val="0"/>
          <w:sz w:val="24"/>
          <w:szCs w:val="24"/>
          <w:lang w:eastAsia="zh-CN"/>
        </w:rPr>
        <w:t>政府信息公开是一项系统性、长期性、经常性工作，</w:t>
      </w:r>
      <w:r>
        <w:rPr>
          <w:rFonts w:ascii="宋体" w:hAnsi="宋体" w:cs="宋体"/>
          <w:b w:val="0"/>
          <w:bCs w:val="0"/>
          <w:kern w:val="0"/>
          <w:sz w:val="24"/>
          <w:szCs w:val="24"/>
        </w:rPr>
        <w:t>20</w:t>
      </w:r>
      <w:r>
        <w:rPr>
          <w:rFonts w:hint="eastAsia" w:ascii="宋体" w:hAnsi="宋体" w:cs="宋体"/>
          <w:b w:val="0"/>
          <w:bCs w:val="0"/>
          <w:kern w:val="0"/>
          <w:sz w:val="24"/>
          <w:szCs w:val="24"/>
        </w:rPr>
        <w:t>21</w:t>
      </w:r>
      <w:r>
        <w:rPr>
          <w:rFonts w:ascii="宋体" w:hAnsi="宋体" w:cs="宋体"/>
          <w:b w:val="0"/>
          <w:bCs w:val="0"/>
          <w:kern w:val="0"/>
          <w:sz w:val="24"/>
          <w:szCs w:val="24"/>
        </w:rPr>
        <w:t>年</w:t>
      </w:r>
      <w:r>
        <w:rPr>
          <w:rFonts w:hint="eastAsia" w:ascii="宋体" w:hAnsi="宋体" w:cs="宋体"/>
          <w:b w:val="0"/>
          <w:bCs w:val="0"/>
          <w:kern w:val="0"/>
          <w:sz w:val="24"/>
          <w:szCs w:val="24"/>
        </w:rPr>
        <w:t>，区政府办公室</w:t>
      </w:r>
      <w:r>
        <w:rPr>
          <w:rFonts w:ascii="宋体" w:hAnsi="宋体" w:cs="宋体"/>
          <w:b w:val="0"/>
          <w:bCs w:val="0"/>
          <w:kern w:val="0"/>
          <w:sz w:val="24"/>
          <w:szCs w:val="24"/>
        </w:rPr>
        <w:t>将</w:t>
      </w:r>
      <w:r>
        <w:rPr>
          <w:rFonts w:hint="eastAsia" w:ascii="宋体" w:hAnsi="宋体" w:cs="宋体"/>
          <w:b w:val="0"/>
          <w:bCs w:val="0"/>
          <w:kern w:val="0"/>
          <w:sz w:val="24"/>
          <w:szCs w:val="24"/>
          <w:lang w:eastAsia="zh-CN"/>
        </w:rPr>
        <w:t>继续</w:t>
      </w:r>
      <w:r>
        <w:rPr>
          <w:rFonts w:ascii="宋体" w:hAnsi="宋体" w:cs="宋体"/>
          <w:b w:val="0"/>
          <w:bCs w:val="0"/>
          <w:kern w:val="0"/>
          <w:sz w:val="24"/>
          <w:szCs w:val="24"/>
        </w:rPr>
        <w:t>深入推进</w:t>
      </w:r>
      <w:r>
        <w:rPr>
          <w:rFonts w:hint="eastAsia" w:ascii="宋体" w:hAnsi="宋体" w:cs="宋体"/>
          <w:b w:val="0"/>
          <w:bCs w:val="0"/>
          <w:kern w:val="0"/>
          <w:sz w:val="24"/>
          <w:szCs w:val="24"/>
          <w:lang w:eastAsia="zh-CN"/>
        </w:rPr>
        <w:t>政府信息公开</w:t>
      </w:r>
      <w:r>
        <w:rPr>
          <w:rFonts w:ascii="宋体" w:hAnsi="宋体" w:cs="宋体"/>
          <w:b w:val="0"/>
          <w:bCs w:val="0"/>
          <w:kern w:val="0"/>
          <w:sz w:val="24"/>
          <w:szCs w:val="24"/>
        </w:rPr>
        <w:t>工作。</w:t>
      </w:r>
    </w:p>
    <w:p>
      <w:pPr>
        <w:widowControl/>
        <w:shd w:val="clear" w:color="auto" w:fill="FFFFFF"/>
        <w:ind w:firstLine="482" w:firstLineChars="200"/>
        <w:rPr>
          <w:rFonts w:hint="eastAsia" w:ascii="宋体" w:hAnsi="宋体" w:cs="宋体"/>
          <w:b w:val="0"/>
          <w:bCs w:val="0"/>
          <w:kern w:val="0"/>
          <w:sz w:val="24"/>
          <w:szCs w:val="24"/>
        </w:rPr>
      </w:pPr>
      <w:r>
        <w:rPr>
          <w:rFonts w:hint="eastAsia" w:ascii="宋体" w:hAnsi="宋体" w:cs="宋体"/>
          <w:b/>
          <w:bCs/>
          <w:kern w:val="0"/>
          <w:sz w:val="24"/>
          <w:szCs w:val="24"/>
        </w:rPr>
        <w:t>一是加强组织指导</w:t>
      </w:r>
      <w:r>
        <w:rPr>
          <w:rFonts w:hint="eastAsia" w:ascii="宋体" w:hAnsi="宋体" w:cs="宋体"/>
          <w:b/>
          <w:bCs/>
          <w:kern w:val="0"/>
          <w:sz w:val="24"/>
          <w:szCs w:val="24"/>
          <w:lang w:eastAsia="zh-CN"/>
        </w:rPr>
        <w:t>，提升思想认识</w:t>
      </w:r>
      <w:r>
        <w:rPr>
          <w:rFonts w:ascii="宋体" w:hAnsi="宋体" w:cs="宋体"/>
          <w:b/>
          <w:bCs/>
          <w:kern w:val="0"/>
          <w:sz w:val="24"/>
          <w:szCs w:val="24"/>
        </w:rPr>
        <w:t>。</w:t>
      </w:r>
      <w:r>
        <w:rPr>
          <w:rFonts w:hint="eastAsia" w:ascii="宋体" w:hAnsi="宋体" w:cs="宋体"/>
          <w:b w:val="0"/>
          <w:bCs w:val="0"/>
          <w:kern w:val="0"/>
          <w:sz w:val="24"/>
          <w:szCs w:val="24"/>
          <w:lang w:eastAsia="zh-CN"/>
        </w:rPr>
        <w:t>进一步</w:t>
      </w:r>
      <w:r>
        <w:rPr>
          <w:rFonts w:hint="eastAsia" w:ascii="宋体" w:hAnsi="宋体" w:cs="宋体"/>
          <w:b w:val="0"/>
          <w:bCs w:val="0"/>
          <w:kern w:val="0"/>
          <w:sz w:val="24"/>
          <w:szCs w:val="24"/>
        </w:rPr>
        <w:t>夯实政务公开制度基础，完善信息公开闭环管理机制，不断提高政务公开专业化规范化水平。充分发挥考核“指挥棒”作用，不断优化政务公开考核内容和考核方式，督促责任部门扎实推进政务公开工作。</w:t>
      </w:r>
    </w:p>
    <w:p>
      <w:pPr>
        <w:widowControl/>
        <w:shd w:val="clear" w:color="auto" w:fill="FFFFFF"/>
        <w:ind w:firstLine="482" w:firstLineChars="200"/>
        <w:rPr>
          <w:rFonts w:hint="eastAsia" w:ascii="宋体" w:hAnsi="宋体" w:cs="宋体"/>
          <w:b w:val="0"/>
          <w:bCs w:val="0"/>
          <w:kern w:val="0"/>
          <w:sz w:val="24"/>
          <w:szCs w:val="24"/>
        </w:rPr>
      </w:pPr>
      <w:r>
        <w:rPr>
          <w:rFonts w:hint="eastAsia" w:ascii="宋体" w:hAnsi="宋体" w:cs="宋体"/>
          <w:b/>
          <w:bCs/>
          <w:kern w:val="0"/>
          <w:sz w:val="24"/>
          <w:szCs w:val="24"/>
          <w:lang w:eastAsia="zh-CN"/>
        </w:rPr>
        <w:t>二</w:t>
      </w:r>
      <w:r>
        <w:rPr>
          <w:rFonts w:hint="eastAsia" w:ascii="宋体" w:hAnsi="宋体" w:cs="宋体"/>
          <w:b/>
          <w:bCs/>
          <w:kern w:val="0"/>
          <w:sz w:val="24"/>
          <w:szCs w:val="24"/>
        </w:rPr>
        <w:t>是</w:t>
      </w:r>
      <w:r>
        <w:rPr>
          <w:rFonts w:hint="eastAsia" w:ascii="宋体" w:hAnsi="宋体" w:cs="宋体"/>
          <w:b/>
          <w:bCs/>
          <w:kern w:val="0"/>
          <w:sz w:val="24"/>
          <w:szCs w:val="24"/>
          <w:lang w:eastAsia="zh-CN"/>
        </w:rPr>
        <w:t>规范依申请公开工作，提高公开效率。</w:t>
      </w:r>
      <w:r>
        <w:rPr>
          <w:rFonts w:hint="eastAsia" w:ascii="宋体" w:hAnsi="宋体" w:cs="宋体"/>
          <w:b w:val="0"/>
          <w:bCs w:val="0"/>
          <w:kern w:val="0"/>
          <w:sz w:val="24"/>
          <w:szCs w:val="24"/>
          <w:lang w:eastAsia="zh-CN"/>
        </w:rPr>
        <w:t>深化对《政府信息公开条例》的理解应用，严格依法依程序办理依申请公开，进一步加大对依申请公开办理人员培训力度，合理完善全区依申请公开件答复内部流程。</w:t>
      </w:r>
    </w:p>
    <w:p>
      <w:pPr>
        <w:widowControl/>
        <w:shd w:val="clear" w:color="auto" w:fill="FFFFFF"/>
        <w:ind w:firstLine="482" w:firstLineChars="200"/>
        <w:rPr>
          <w:rFonts w:hint="eastAsia" w:ascii="宋体" w:hAnsi="宋体" w:cs="宋体"/>
          <w:b w:val="0"/>
          <w:bCs w:val="0"/>
          <w:kern w:val="0"/>
          <w:sz w:val="24"/>
          <w:szCs w:val="24"/>
        </w:rPr>
      </w:pPr>
      <w:r>
        <w:rPr>
          <w:rFonts w:hint="eastAsia" w:ascii="宋体" w:hAnsi="宋体" w:cs="宋体"/>
          <w:b/>
          <w:bCs/>
          <w:kern w:val="0"/>
          <w:sz w:val="24"/>
          <w:szCs w:val="24"/>
          <w:lang w:eastAsia="zh-CN"/>
        </w:rPr>
        <w:t>三</w:t>
      </w:r>
      <w:r>
        <w:rPr>
          <w:rFonts w:hint="eastAsia" w:ascii="宋体" w:hAnsi="宋体" w:cs="宋体"/>
          <w:b/>
          <w:bCs/>
          <w:kern w:val="0"/>
          <w:sz w:val="24"/>
          <w:szCs w:val="24"/>
        </w:rPr>
        <w:t>是持续推进政务公开标准化规范化建设。</w:t>
      </w:r>
      <w:r>
        <w:rPr>
          <w:rFonts w:hint="eastAsia" w:ascii="宋体" w:hAnsi="宋体" w:cs="宋体"/>
          <w:b w:val="0"/>
          <w:bCs w:val="0"/>
          <w:kern w:val="0"/>
          <w:sz w:val="24"/>
          <w:szCs w:val="24"/>
        </w:rPr>
        <w:t>坚持运用法治思维和法治方式全面推进基层政务公开标准化规范化</w:t>
      </w:r>
      <w:r>
        <w:rPr>
          <w:rFonts w:hint="eastAsia" w:ascii="宋体" w:hAnsi="宋体" w:cs="宋体"/>
          <w:b w:val="0"/>
          <w:bCs w:val="0"/>
          <w:kern w:val="0"/>
          <w:sz w:val="24"/>
          <w:szCs w:val="24"/>
          <w:lang w:eastAsia="zh-CN"/>
        </w:rPr>
        <w:t>管理</w:t>
      </w:r>
      <w:r>
        <w:rPr>
          <w:rFonts w:hint="eastAsia" w:ascii="宋体" w:hAnsi="宋体" w:cs="宋体"/>
          <w:b w:val="0"/>
          <w:bCs w:val="0"/>
          <w:kern w:val="0"/>
          <w:sz w:val="24"/>
          <w:szCs w:val="24"/>
        </w:rPr>
        <w:t>，着力完善政府门户网站政务公开标准化规范化专栏，规范政府信息发布和管理机制，实现政府信息“全生命周期”管理。</w:t>
      </w:r>
    </w:p>
    <w:p>
      <w:pPr>
        <w:widowControl/>
        <w:shd w:val="clear" w:color="auto" w:fill="FFFFFF"/>
        <w:ind w:firstLine="482" w:firstLineChars="200"/>
        <w:rPr>
          <w:rFonts w:hint="eastAsia" w:ascii="宋体" w:hAnsi="宋体" w:cs="宋体"/>
          <w:b w:val="0"/>
          <w:bCs w:val="0"/>
          <w:color w:val="333333"/>
          <w:kern w:val="0"/>
          <w:sz w:val="24"/>
          <w:szCs w:val="24"/>
        </w:rPr>
      </w:pPr>
      <w:r>
        <w:rPr>
          <w:rFonts w:hint="eastAsia" w:ascii="宋体" w:hAnsi="宋体" w:cs="宋体"/>
          <w:b/>
          <w:bCs/>
          <w:kern w:val="0"/>
          <w:sz w:val="24"/>
          <w:szCs w:val="24"/>
          <w:lang w:eastAsia="zh-CN"/>
        </w:rPr>
        <w:t>四</w:t>
      </w:r>
      <w:r>
        <w:rPr>
          <w:rFonts w:hint="eastAsia" w:ascii="宋体" w:hAnsi="宋体" w:cs="宋体"/>
          <w:b/>
          <w:bCs/>
          <w:kern w:val="0"/>
          <w:sz w:val="24"/>
          <w:szCs w:val="24"/>
        </w:rPr>
        <w:t>是强化公开平台管理。</w:t>
      </w:r>
      <w:r>
        <w:rPr>
          <w:rFonts w:hint="eastAsia" w:ascii="宋体" w:hAnsi="宋体" w:cs="宋体"/>
          <w:b w:val="0"/>
          <w:bCs w:val="0"/>
          <w:kern w:val="0"/>
          <w:sz w:val="24"/>
          <w:szCs w:val="24"/>
        </w:rPr>
        <w:t>进一步加强网站建设</w:t>
      </w:r>
      <w:r>
        <w:rPr>
          <w:rFonts w:hint="eastAsia" w:ascii="宋体" w:hAnsi="宋体" w:cs="宋体"/>
          <w:b w:val="0"/>
          <w:bCs w:val="0"/>
          <w:kern w:val="0"/>
          <w:sz w:val="24"/>
          <w:szCs w:val="24"/>
          <w:lang w:eastAsia="zh-CN"/>
        </w:rPr>
        <w:t>监督</w:t>
      </w:r>
      <w:r>
        <w:rPr>
          <w:rFonts w:hint="eastAsia" w:ascii="宋体" w:hAnsi="宋体" w:cs="宋体"/>
          <w:b w:val="0"/>
          <w:bCs w:val="0"/>
          <w:kern w:val="0"/>
          <w:sz w:val="24"/>
          <w:szCs w:val="24"/>
        </w:rPr>
        <w:t>,完善网站服务功能，充分发挥政府门户网站信息公开第一平台作用。加强政务新媒体管理工作，促进政务新媒体健康有序发展，强化政务新媒体传播速度快、受众面广、互动性强的优势，把政务新媒体打造成为政府信息公开和政务舆情回应、引导重要平台。</w:t>
      </w:r>
    </w:p>
    <w:p>
      <w:pPr>
        <w:widowControl/>
        <w:shd w:val="clear" w:color="auto" w:fill="FFFFFF"/>
        <w:spacing w:after="240"/>
        <w:ind w:firstLine="482"/>
        <w:rPr>
          <w:rFonts w:hint="eastAsia" w:ascii="宋体" w:hAnsi="宋体" w:cs="宋体"/>
          <w:b/>
          <w:bCs/>
          <w:color w:val="333333"/>
          <w:kern w:val="0"/>
          <w:sz w:val="24"/>
          <w:szCs w:val="24"/>
        </w:rPr>
      </w:pPr>
    </w:p>
    <w:p>
      <w:pPr>
        <w:widowControl/>
        <w:shd w:val="clear" w:color="auto" w:fill="FFFFFF"/>
        <w:spacing w:after="240"/>
        <w:ind w:firstLine="482"/>
        <w:rPr>
          <w:rFonts w:ascii="宋体" w:hAnsi="宋体" w:cs="宋体"/>
          <w:color w:val="333333"/>
          <w:kern w:val="0"/>
          <w:sz w:val="24"/>
          <w:szCs w:val="24"/>
        </w:rPr>
      </w:pPr>
      <w:r>
        <w:rPr>
          <w:rFonts w:hint="eastAsia" w:ascii="宋体" w:hAnsi="宋体" w:cs="宋体"/>
          <w:b/>
          <w:bCs/>
          <w:color w:val="333333"/>
          <w:kern w:val="0"/>
          <w:sz w:val="24"/>
          <w:szCs w:val="24"/>
        </w:rPr>
        <w:t>六、其他需要报告的事项</w:t>
      </w:r>
    </w:p>
    <w:p>
      <w:pPr>
        <w:widowControl/>
        <w:shd w:val="clear" w:color="auto" w:fill="FFFFFF"/>
        <w:ind w:firstLine="480" w:firstLineChars="200"/>
        <w:rPr>
          <w:rFonts w:hint="eastAsia" w:ascii="宋体" w:hAnsi="宋体" w:cs="宋体"/>
          <w:b w:val="0"/>
          <w:bCs w:val="0"/>
          <w:kern w:val="0"/>
          <w:sz w:val="24"/>
          <w:szCs w:val="24"/>
        </w:rPr>
      </w:pPr>
      <w:r>
        <w:rPr>
          <w:rFonts w:hint="eastAsia" w:ascii="宋体" w:hAnsi="宋体" w:cs="宋体"/>
          <w:b w:val="0"/>
          <w:bCs w:val="0"/>
          <w:kern w:val="0"/>
          <w:sz w:val="24"/>
          <w:szCs w:val="24"/>
        </w:rPr>
        <w:t>2</w:t>
      </w:r>
      <w:bookmarkStart w:id="0" w:name="_GoBack"/>
      <w:bookmarkEnd w:id="0"/>
      <w:r>
        <w:rPr>
          <w:rFonts w:hint="eastAsia" w:ascii="宋体" w:hAnsi="宋体" w:cs="宋体"/>
          <w:b w:val="0"/>
          <w:bCs w:val="0"/>
          <w:kern w:val="0"/>
          <w:sz w:val="24"/>
          <w:szCs w:val="24"/>
        </w:rPr>
        <w:t>020年我区未收取政府信息公开费用。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F90FC9"/>
    <w:multiLevelType w:val="singleLevel"/>
    <w:tmpl w:val="EAF90FC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GQ2MDAyNGE2Mzg1M2EzODVkYzhkMzdkNDY2MWM5ZTYifQ=="/>
  </w:docVars>
  <w:rsids>
    <w:rsidRoot w:val="009E53AF"/>
    <w:rsid w:val="000022D7"/>
    <w:rsid w:val="00081F9C"/>
    <w:rsid w:val="000B5771"/>
    <w:rsid w:val="000E75BC"/>
    <w:rsid w:val="001059A8"/>
    <w:rsid w:val="00107355"/>
    <w:rsid w:val="00111DB7"/>
    <w:rsid w:val="00124FA1"/>
    <w:rsid w:val="0014756F"/>
    <w:rsid w:val="0014761A"/>
    <w:rsid w:val="001476F8"/>
    <w:rsid w:val="00156B24"/>
    <w:rsid w:val="00165BE2"/>
    <w:rsid w:val="00166446"/>
    <w:rsid w:val="00174BE3"/>
    <w:rsid w:val="00176650"/>
    <w:rsid w:val="001C0506"/>
    <w:rsid w:val="001D6455"/>
    <w:rsid w:val="00244C6F"/>
    <w:rsid w:val="002679E3"/>
    <w:rsid w:val="002C2F5E"/>
    <w:rsid w:val="002E6EA8"/>
    <w:rsid w:val="002F070D"/>
    <w:rsid w:val="002F3E8D"/>
    <w:rsid w:val="0030483A"/>
    <w:rsid w:val="00305ED5"/>
    <w:rsid w:val="00324833"/>
    <w:rsid w:val="003309DC"/>
    <w:rsid w:val="00347CA5"/>
    <w:rsid w:val="0036125A"/>
    <w:rsid w:val="003A6158"/>
    <w:rsid w:val="003B01B6"/>
    <w:rsid w:val="003C600E"/>
    <w:rsid w:val="003D3835"/>
    <w:rsid w:val="003F7A80"/>
    <w:rsid w:val="00404880"/>
    <w:rsid w:val="00497C0D"/>
    <w:rsid w:val="0050450F"/>
    <w:rsid w:val="00513EFD"/>
    <w:rsid w:val="00534B3A"/>
    <w:rsid w:val="0054482B"/>
    <w:rsid w:val="00556259"/>
    <w:rsid w:val="005A4190"/>
    <w:rsid w:val="005C4D0D"/>
    <w:rsid w:val="005D0DD0"/>
    <w:rsid w:val="005D4587"/>
    <w:rsid w:val="00604020"/>
    <w:rsid w:val="0061174E"/>
    <w:rsid w:val="00617C8D"/>
    <w:rsid w:val="00627724"/>
    <w:rsid w:val="00632381"/>
    <w:rsid w:val="00647633"/>
    <w:rsid w:val="006B4C83"/>
    <w:rsid w:val="006B4CAA"/>
    <w:rsid w:val="006B63D7"/>
    <w:rsid w:val="006D62FC"/>
    <w:rsid w:val="007268F0"/>
    <w:rsid w:val="00764387"/>
    <w:rsid w:val="00766DCE"/>
    <w:rsid w:val="00786879"/>
    <w:rsid w:val="00790FDA"/>
    <w:rsid w:val="00793E2A"/>
    <w:rsid w:val="007D7261"/>
    <w:rsid w:val="007E0608"/>
    <w:rsid w:val="007E63C7"/>
    <w:rsid w:val="007F5764"/>
    <w:rsid w:val="00847827"/>
    <w:rsid w:val="00855738"/>
    <w:rsid w:val="008803C7"/>
    <w:rsid w:val="00886EB3"/>
    <w:rsid w:val="008A59D6"/>
    <w:rsid w:val="008C284E"/>
    <w:rsid w:val="00915BAB"/>
    <w:rsid w:val="00917F82"/>
    <w:rsid w:val="00935E53"/>
    <w:rsid w:val="00940F65"/>
    <w:rsid w:val="009C1C72"/>
    <w:rsid w:val="009D32A0"/>
    <w:rsid w:val="009D4668"/>
    <w:rsid w:val="009E53AF"/>
    <w:rsid w:val="00A264C2"/>
    <w:rsid w:val="00A44F7F"/>
    <w:rsid w:val="00A83E62"/>
    <w:rsid w:val="00AA5B4C"/>
    <w:rsid w:val="00AB7688"/>
    <w:rsid w:val="00AC1994"/>
    <w:rsid w:val="00AF5C8A"/>
    <w:rsid w:val="00B37F4D"/>
    <w:rsid w:val="00B52EEF"/>
    <w:rsid w:val="00B74E20"/>
    <w:rsid w:val="00B935AC"/>
    <w:rsid w:val="00BA4D98"/>
    <w:rsid w:val="00BC6A8B"/>
    <w:rsid w:val="00BD70C4"/>
    <w:rsid w:val="00BF281C"/>
    <w:rsid w:val="00C44BA8"/>
    <w:rsid w:val="00C80335"/>
    <w:rsid w:val="00C9767E"/>
    <w:rsid w:val="00CB088A"/>
    <w:rsid w:val="00CB3344"/>
    <w:rsid w:val="00CF5A55"/>
    <w:rsid w:val="00D17588"/>
    <w:rsid w:val="00D76197"/>
    <w:rsid w:val="00D76DA5"/>
    <w:rsid w:val="00D86F0D"/>
    <w:rsid w:val="00D9786C"/>
    <w:rsid w:val="00DA41C5"/>
    <w:rsid w:val="00DA46B2"/>
    <w:rsid w:val="00DA54A1"/>
    <w:rsid w:val="00E94923"/>
    <w:rsid w:val="00EB17EE"/>
    <w:rsid w:val="00EC6233"/>
    <w:rsid w:val="00EC7CC5"/>
    <w:rsid w:val="00ED0D88"/>
    <w:rsid w:val="00F10CCA"/>
    <w:rsid w:val="00F7027A"/>
    <w:rsid w:val="00F73CB5"/>
    <w:rsid w:val="00F87BAF"/>
    <w:rsid w:val="00F9062E"/>
    <w:rsid w:val="00FB7D92"/>
    <w:rsid w:val="00FD6C71"/>
    <w:rsid w:val="00FE5879"/>
    <w:rsid w:val="011149CC"/>
    <w:rsid w:val="02111855"/>
    <w:rsid w:val="03EB5211"/>
    <w:rsid w:val="03F60D31"/>
    <w:rsid w:val="064B7D28"/>
    <w:rsid w:val="06A26D5B"/>
    <w:rsid w:val="08514A7F"/>
    <w:rsid w:val="08CB4026"/>
    <w:rsid w:val="09236116"/>
    <w:rsid w:val="09321A3A"/>
    <w:rsid w:val="0BC37AB0"/>
    <w:rsid w:val="0BD61C7E"/>
    <w:rsid w:val="0CD60D21"/>
    <w:rsid w:val="0CFE2188"/>
    <w:rsid w:val="0D796240"/>
    <w:rsid w:val="0F7E1279"/>
    <w:rsid w:val="0F7E18C0"/>
    <w:rsid w:val="11057DFB"/>
    <w:rsid w:val="12456209"/>
    <w:rsid w:val="127A53DE"/>
    <w:rsid w:val="13BD146D"/>
    <w:rsid w:val="14FA66F7"/>
    <w:rsid w:val="160E317E"/>
    <w:rsid w:val="1674781B"/>
    <w:rsid w:val="16D265F5"/>
    <w:rsid w:val="16F17A55"/>
    <w:rsid w:val="17C218CA"/>
    <w:rsid w:val="1899386C"/>
    <w:rsid w:val="199C5A59"/>
    <w:rsid w:val="19CF4999"/>
    <w:rsid w:val="19E7558B"/>
    <w:rsid w:val="1A3321DA"/>
    <w:rsid w:val="1AB00B8C"/>
    <w:rsid w:val="1C871C52"/>
    <w:rsid w:val="1D091DF4"/>
    <w:rsid w:val="1DED4E5D"/>
    <w:rsid w:val="1FDC0794"/>
    <w:rsid w:val="20AA65A3"/>
    <w:rsid w:val="24741E5C"/>
    <w:rsid w:val="2474227F"/>
    <w:rsid w:val="24DC5230"/>
    <w:rsid w:val="256E356A"/>
    <w:rsid w:val="258D2760"/>
    <w:rsid w:val="25CC7E8F"/>
    <w:rsid w:val="25EC546F"/>
    <w:rsid w:val="26097CF4"/>
    <w:rsid w:val="2751210B"/>
    <w:rsid w:val="28090ABE"/>
    <w:rsid w:val="288F421B"/>
    <w:rsid w:val="28A65E78"/>
    <w:rsid w:val="290A3D8C"/>
    <w:rsid w:val="29C1711B"/>
    <w:rsid w:val="2BFE6055"/>
    <w:rsid w:val="2D74241F"/>
    <w:rsid w:val="2E1732AD"/>
    <w:rsid w:val="30CB379B"/>
    <w:rsid w:val="3138634D"/>
    <w:rsid w:val="33720289"/>
    <w:rsid w:val="35FA439C"/>
    <w:rsid w:val="37B52474"/>
    <w:rsid w:val="3ABC3405"/>
    <w:rsid w:val="3E0F3397"/>
    <w:rsid w:val="3E2C3417"/>
    <w:rsid w:val="3F9F9982"/>
    <w:rsid w:val="3FDB52D2"/>
    <w:rsid w:val="3FE31916"/>
    <w:rsid w:val="4002645B"/>
    <w:rsid w:val="42A7693F"/>
    <w:rsid w:val="42FB7840"/>
    <w:rsid w:val="4510235C"/>
    <w:rsid w:val="451C3F5E"/>
    <w:rsid w:val="46585B76"/>
    <w:rsid w:val="46C72BB0"/>
    <w:rsid w:val="472B3950"/>
    <w:rsid w:val="47FD752B"/>
    <w:rsid w:val="482A48AB"/>
    <w:rsid w:val="489D0986"/>
    <w:rsid w:val="4A5A01CE"/>
    <w:rsid w:val="4AFB1112"/>
    <w:rsid w:val="4BD17E71"/>
    <w:rsid w:val="4BDB67B2"/>
    <w:rsid w:val="4C9359B0"/>
    <w:rsid w:val="4D1548D6"/>
    <w:rsid w:val="4F827700"/>
    <w:rsid w:val="4FA72BB9"/>
    <w:rsid w:val="518E3B5A"/>
    <w:rsid w:val="521A11BF"/>
    <w:rsid w:val="52B76EF0"/>
    <w:rsid w:val="53186EE4"/>
    <w:rsid w:val="556A6B40"/>
    <w:rsid w:val="5A647826"/>
    <w:rsid w:val="5A827FB5"/>
    <w:rsid w:val="5BDB7E61"/>
    <w:rsid w:val="5DD43066"/>
    <w:rsid w:val="5EEA4D46"/>
    <w:rsid w:val="607F4DDC"/>
    <w:rsid w:val="60C6469B"/>
    <w:rsid w:val="60E5621F"/>
    <w:rsid w:val="61201262"/>
    <w:rsid w:val="62720A8F"/>
    <w:rsid w:val="62B76FB2"/>
    <w:rsid w:val="65380BA5"/>
    <w:rsid w:val="671A5D1C"/>
    <w:rsid w:val="67612BC7"/>
    <w:rsid w:val="689C5BAA"/>
    <w:rsid w:val="6A165FDB"/>
    <w:rsid w:val="6BC97930"/>
    <w:rsid w:val="6C7B5108"/>
    <w:rsid w:val="6CB74F6C"/>
    <w:rsid w:val="6E33697A"/>
    <w:rsid w:val="6ED8192B"/>
    <w:rsid w:val="6F18162A"/>
    <w:rsid w:val="6F19042D"/>
    <w:rsid w:val="6FE4682A"/>
    <w:rsid w:val="71E25E63"/>
    <w:rsid w:val="723E3D7A"/>
    <w:rsid w:val="73157049"/>
    <w:rsid w:val="732C34AF"/>
    <w:rsid w:val="74214194"/>
    <w:rsid w:val="74FF3B82"/>
    <w:rsid w:val="76B822CF"/>
    <w:rsid w:val="776564EF"/>
    <w:rsid w:val="777F674C"/>
    <w:rsid w:val="784129DA"/>
    <w:rsid w:val="794F059A"/>
    <w:rsid w:val="79CD2161"/>
    <w:rsid w:val="7A6E5EE1"/>
    <w:rsid w:val="7A970875"/>
    <w:rsid w:val="7AEF010C"/>
    <w:rsid w:val="7B27739D"/>
    <w:rsid w:val="7B3538C1"/>
    <w:rsid w:val="7B6D0521"/>
    <w:rsid w:val="7C5E349E"/>
    <w:rsid w:val="7C815A22"/>
    <w:rsid w:val="7DB20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287"/>
    </w:pPr>
    <w:rPr>
      <w:rFonts w:ascii="仿宋_GB2312" w:hAnsi="仿宋_GB2312" w:eastAsia="仿宋_GB2312" w:cs="仿宋_GB2312"/>
      <w:sz w:val="32"/>
      <w:szCs w:val="32"/>
      <w:lang w:val="zh-CN" w:eastAsia="zh-CN" w:bidi="zh-CN"/>
    </w:rPr>
  </w:style>
  <w:style w:type="paragraph" w:styleId="4">
    <w:name w:val="Body Text Indent"/>
    <w:basedOn w:val="1"/>
    <w:qFormat/>
    <w:uiPriority w:val="0"/>
    <w:pPr>
      <w:ind w:firstLine="630"/>
    </w:pPr>
    <w:rPr>
      <w:rFonts w:eastAsia="仿宋_GB2312"/>
      <w:sz w:val="32"/>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0"/>
    <w:rPr>
      <w:rFonts w:ascii="Times New Roman" w:hAnsi="Times New Roman" w:cs="Times New Roman"/>
      <w:sz w:val="24"/>
      <w:szCs w:val="24"/>
    </w:rPr>
  </w:style>
  <w:style w:type="character" w:styleId="10">
    <w:name w:val="Strong"/>
    <w:basedOn w:val="9"/>
    <w:qFormat/>
    <w:uiPriority w:val="22"/>
    <w:rPr>
      <w:b/>
    </w:rPr>
  </w:style>
  <w:style w:type="paragraph" w:customStyle="1" w:styleId="11">
    <w:name w:val="列出段落1"/>
    <w:basedOn w:val="1"/>
    <w:qFormat/>
    <w:uiPriority w:val="34"/>
    <w:pPr>
      <w:ind w:firstLine="420" w:firstLineChars="200"/>
    </w:pPr>
    <w:rPr>
      <w:rFonts w:cs="Times New Roman"/>
      <w:szCs w:val="22"/>
    </w:rPr>
  </w:style>
  <w:style w:type="character" w:customStyle="1" w:styleId="12">
    <w:name w:val="页眉 Char"/>
    <w:basedOn w:val="9"/>
    <w:link w:val="6"/>
    <w:semiHidden/>
    <w:qFormat/>
    <w:uiPriority w:val="99"/>
    <w:rPr>
      <w:rFonts w:ascii="Calibri" w:hAnsi="Calibri" w:eastAsia="宋体" w:cs="Calibri"/>
      <w:sz w:val="18"/>
      <w:szCs w:val="18"/>
    </w:rPr>
  </w:style>
  <w:style w:type="character" w:customStyle="1" w:styleId="13">
    <w:name w:val="页脚 Char"/>
    <w:basedOn w:val="9"/>
    <w:link w:val="5"/>
    <w:semiHidden/>
    <w:qFormat/>
    <w:uiPriority w:val="99"/>
    <w:rPr>
      <w:rFonts w:ascii="Calibri" w:hAnsi="Calibri" w:eastAsia="宋体" w:cs="Calibri"/>
      <w:sz w:val="18"/>
      <w:szCs w:val="18"/>
    </w:rPr>
  </w:style>
  <w:style w:type="character" w:customStyle="1" w:styleId="14">
    <w:name w:val="fontstyle01"/>
    <w:basedOn w:val="9"/>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516</Words>
  <Characters>2944</Characters>
  <Lines>24</Lines>
  <Paragraphs>6</Paragraphs>
  <TotalTime>4</TotalTime>
  <ScaleCrop>false</ScaleCrop>
  <LinksUpToDate>false</LinksUpToDate>
  <CharactersWithSpaces>3454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2019-12-30T09:27:00Z</dcterms:created>
  <dc:creator>顾煜俊</dc:creator>
  <cp:lastModifiedBy>小胡来</cp:lastModifiedBy>
  <dcterms:modified xsi:type="dcterms:W3CDTF">2023-12-28T09:57:36Z</dcterms:modified>
  <dc:title>2020年拱墅区政务公开工作总结</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BB59FC3A48E2ECE425BD8F643E82954A_42</vt:lpwstr>
  </property>
</Properties>
</file>