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华文楷体" w:eastAsia="黑体"/>
          <w:sz w:val="44"/>
          <w:szCs w:val="44"/>
        </w:rPr>
      </w:pPr>
      <w:r>
        <w:rPr>
          <w:rFonts w:hint="eastAsia" w:ascii="黑体" w:hAnsi="华文楷体" w:eastAsia="黑体"/>
          <w:sz w:val="44"/>
          <w:szCs w:val="44"/>
        </w:rPr>
        <w:t>2021年度拱墅区市场监督管理局</w:t>
      </w:r>
    </w:p>
    <w:p>
      <w:pPr>
        <w:jc w:val="center"/>
        <w:rPr>
          <w:rFonts w:ascii="黑体" w:hAnsi="华文楷体" w:eastAsia="黑体"/>
          <w:sz w:val="44"/>
          <w:szCs w:val="44"/>
        </w:rPr>
      </w:pPr>
      <w:r>
        <w:rPr>
          <w:rFonts w:hint="eastAsia" w:ascii="黑体" w:hAnsi="华文楷体" w:eastAsia="黑体"/>
          <w:sz w:val="44"/>
          <w:szCs w:val="44"/>
        </w:rPr>
        <w:t>政府信息公开年度报告</w:t>
      </w:r>
    </w:p>
    <w:p>
      <w:pPr>
        <w:ind w:firstLine="707" w:firstLineChars="221"/>
        <w:rPr>
          <w:rFonts w:ascii="仿宋_GB2312" w:eastAsia="仿宋_GB2312"/>
          <w:sz w:val="32"/>
          <w:szCs w:val="32"/>
        </w:rPr>
      </w:pPr>
    </w:p>
    <w:p>
      <w:pPr>
        <w:spacing w:line="360" w:lineRule="auto"/>
        <w:ind w:firstLine="640" w:firstLineChars="200"/>
        <w:contextualSpacing/>
        <w:rPr>
          <w:rFonts w:ascii="仿宋" w:hAnsi="仿宋" w:eastAsia="仿宋" w:cs="仿宋"/>
          <w:sz w:val="32"/>
          <w:szCs w:val="32"/>
        </w:rPr>
      </w:pPr>
      <w:r>
        <w:rPr>
          <w:rFonts w:hint="eastAsia" w:ascii="仿宋" w:hAnsi="仿宋" w:eastAsia="仿宋" w:cs="仿宋"/>
          <w:sz w:val="32"/>
          <w:szCs w:val="32"/>
        </w:rPr>
        <w:t>2</w:t>
      </w:r>
      <w:r>
        <w:rPr>
          <w:rFonts w:ascii="仿宋" w:hAnsi="仿宋" w:eastAsia="仿宋" w:cs="仿宋"/>
          <w:sz w:val="32"/>
          <w:szCs w:val="32"/>
        </w:rPr>
        <w:t>02</w:t>
      </w:r>
      <w:r>
        <w:rPr>
          <w:rFonts w:hint="eastAsia" w:ascii="仿宋" w:hAnsi="仿宋" w:eastAsia="仿宋" w:cs="仿宋"/>
          <w:sz w:val="32"/>
          <w:szCs w:val="32"/>
        </w:rPr>
        <w:t>1年区市场监督管理局信息公开工作坚持以习近平新时代中国特色社会主义思想为指导，以贯彻落实《中华人民共和国政府信息公开条例》（以下简称《条例》）为抓手</w:t>
      </w:r>
      <w:bookmarkStart w:id="0" w:name="_GoBack"/>
      <w:bookmarkEnd w:id="0"/>
      <w:r>
        <w:rPr>
          <w:rFonts w:hint="eastAsia" w:ascii="仿宋" w:hAnsi="仿宋" w:eastAsia="仿宋" w:cs="仿宋"/>
          <w:sz w:val="32"/>
          <w:szCs w:val="32"/>
        </w:rPr>
        <w:t>，紧跟区委、区政府中心工作，不断提升政府信息公开工作质量，深化重点领域信息公开，加强政策解读，提升公开实效，充分发挥公开促落实、促规范、促服务的作用，进一步提升政府的执行力和公信力。</w:t>
      </w:r>
    </w:p>
    <w:p>
      <w:pPr>
        <w:spacing w:line="360" w:lineRule="auto"/>
        <w:ind w:firstLine="640" w:firstLineChars="200"/>
        <w:contextualSpacing/>
        <w:rPr>
          <w:rFonts w:ascii="仿宋" w:hAnsi="仿宋" w:eastAsia="仿宋" w:cs="仿宋"/>
          <w:sz w:val="32"/>
          <w:szCs w:val="32"/>
        </w:rPr>
      </w:pPr>
      <w:r>
        <w:rPr>
          <w:rFonts w:hint="eastAsia" w:ascii="仿宋" w:hAnsi="仿宋" w:eastAsia="仿宋" w:cs="仿宋"/>
          <w:sz w:val="32"/>
          <w:szCs w:val="32"/>
        </w:rPr>
        <w:t>本报告中所列数据的统计期限自2021年1月1日起至2021年12月31日止。</w:t>
      </w:r>
    </w:p>
    <w:p>
      <w:pPr>
        <w:widowControl/>
        <w:numPr>
          <w:ilvl w:val="0"/>
          <w:numId w:val="1"/>
        </w:numPr>
        <w:shd w:val="clear" w:color="auto" w:fill="FFFFFF"/>
        <w:ind w:firstLine="643" w:firstLineChars="200"/>
        <w:rPr>
          <w:rFonts w:ascii="仿宋_GB2312" w:hAnsi="宋体" w:eastAsia="仿宋_GB2312" w:cs="宋体"/>
          <w:b/>
          <w:bCs/>
          <w:kern w:val="0"/>
          <w:sz w:val="32"/>
          <w:szCs w:val="32"/>
        </w:rPr>
      </w:pPr>
      <w:r>
        <w:rPr>
          <w:rFonts w:hint="eastAsia" w:ascii="仿宋_GB2312" w:hAnsi="宋体" w:eastAsia="仿宋_GB2312" w:cs="宋体"/>
          <w:b/>
          <w:bCs/>
          <w:kern w:val="0"/>
          <w:sz w:val="32"/>
          <w:szCs w:val="32"/>
        </w:rPr>
        <w:t>总体情况</w:t>
      </w:r>
    </w:p>
    <w:p>
      <w:pPr>
        <w:pStyle w:val="6"/>
        <w:shd w:val="clear" w:color="auto" w:fill="FFFFFF"/>
        <w:spacing w:before="0" w:beforeAutospacing="0" w:after="0" w:afterAutospacing="0" w:line="390" w:lineRule="atLeast"/>
        <w:ind w:firstLine="645"/>
        <w:rPr>
          <w:rFonts w:ascii="sans-serif" w:hAnsi="sans-serif" w:eastAsia="sans-serif" w:cs="sans-serif"/>
          <w:sz w:val="21"/>
          <w:szCs w:val="21"/>
        </w:rPr>
      </w:pPr>
      <w:r>
        <w:rPr>
          <w:rStyle w:val="9"/>
          <w:rFonts w:hint="eastAsia" w:ascii="仿宋_GB2312" w:hAnsi="sans-serif" w:eastAsia="仿宋_GB2312" w:cs="仿宋_GB2312"/>
          <w:sz w:val="31"/>
          <w:szCs w:val="31"/>
          <w:shd w:val="clear" w:color="auto" w:fill="FFFFFF"/>
        </w:rPr>
        <w:t>（一）主动公开情况</w:t>
      </w:r>
    </w:p>
    <w:p>
      <w:pPr>
        <w:spacing w:line="600" w:lineRule="exact"/>
        <w:ind w:firstLine="640" w:firstLineChars="200"/>
        <w:rPr>
          <w:rFonts w:ascii="sans-serif" w:hAnsi="sans-serif" w:eastAsia="sans-serif" w:cs="sans-serif"/>
          <w:szCs w:val="21"/>
        </w:rPr>
      </w:pPr>
      <w:r>
        <w:rPr>
          <w:rFonts w:hint="eastAsia" w:ascii="仿宋_GB2312" w:hAnsi="宋体" w:eastAsia="仿宋_GB2312" w:cs="Times New Roman"/>
          <w:sz w:val="32"/>
          <w:szCs w:val="32"/>
        </w:rPr>
        <w:t>我局严格按照区政府信息公开工作要求，在拱墅区区政府门户网站按照时间节点，及时更新机构设置、政策文件、重大决策预公开、规划计划、资金信息、人事信息、监督检查、重点领域信息公开、应急管理、食药安全、建议提案办理等信息。</w:t>
      </w:r>
      <w:r>
        <w:rPr>
          <w:rFonts w:hint="eastAsia" w:ascii="仿宋_GB2312" w:hAnsi="sans-serif" w:eastAsia="仿宋_GB2312" w:cs="仿宋_GB2312"/>
          <w:sz w:val="31"/>
          <w:szCs w:val="31"/>
          <w:shd w:val="clear" w:color="auto" w:fill="FFFFFF"/>
        </w:rPr>
        <w:t>通过微信公众号“拱墅市场监管”发布重点工作动向、重点政策法规等内容。截至2021年12月31日，我局主动发布食品、药品、规章制度等各类政府信息 859条。</w:t>
      </w:r>
    </w:p>
    <w:p>
      <w:pPr>
        <w:pStyle w:val="6"/>
        <w:shd w:val="clear" w:color="auto" w:fill="FFFFFF"/>
        <w:spacing w:before="0" w:beforeAutospacing="0" w:after="0" w:afterAutospacing="0" w:line="390" w:lineRule="atLeast"/>
        <w:ind w:firstLine="645"/>
        <w:rPr>
          <w:rFonts w:ascii="sans-serif" w:hAnsi="sans-serif" w:eastAsia="sans-serif" w:cs="sans-serif"/>
          <w:sz w:val="21"/>
          <w:szCs w:val="21"/>
        </w:rPr>
      </w:pPr>
      <w:r>
        <w:rPr>
          <w:rStyle w:val="9"/>
          <w:rFonts w:hint="eastAsia" w:ascii="仿宋_GB2312" w:hAnsi="sans-serif" w:eastAsia="仿宋_GB2312" w:cs="仿宋_GB2312"/>
          <w:sz w:val="31"/>
          <w:szCs w:val="31"/>
          <w:shd w:val="clear" w:color="auto" w:fill="FFFFFF"/>
        </w:rPr>
        <w:t>（二）依申请公开情况</w:t>
      </w:r>
    </w:p>
    <w:p>
      <w:pPr>
        <w:pStyle w:val="6"/>
        <w:spacing w:before="0" w:beforeAutospacing="0" w:after="0" w:afterAutospacing="0" w:line="420" w:lineRule="atLeast"/>
        <w:ind w:firstLine="645"/>
        <w:rPr>
          <w:rFonts w:hint="eastAsia" w:ascii="仿宋_GB2312" w:hAnsi="sans-serif" w:eastAsia="仿宋_GB2312" w:cs="仿宋_GB2312"/>
          <w:sz w:val="31"/>
          <w:szCs w:val="31"/>
        </w:rPr>
      </w:pPr>
    </w:p>
    <w:p>
      <w:pPr>
        <w:pStyle w:val="6"/>
        <w:shd w:val="clear" w:color="auto" w:fill="FFFFFF"/>
        <w:spacing w:beforeAutospacing="0" w:afterAutospacing="0"/>
        <w:ind w:firstLine="645"/>
        <w:rPr>
          <w:rFonts w:ascii="仿宋" w:hAnsi="仿宋" w:eastAsia="仿宋"/>
          <w:sz w:val="32"/>
          <w:szCs w:val="28"/>
        </w:rPr>
      </w:pPr>
      <w:r>
        <w:rPr>
          <w:rFonts w:hint="eastAsia" w:ascii="仿宋_GB2312" w:hAnsi="sans-serif" w:eastAsia="仿宋_GB2312" w:cs="仿宋_GB2312"/>
          <w:sz w:val="31"/>
          <w:szCs w:val="31"/>
        </w:rPr>
        <w:t>规范依申请公开办理工作，严格按照</w:t>
      </w:r>
      <w:r>
        <w:rPr>
          <w:rFonts w:hint="eastAsia" w:ascii="仿宋_GB2312" w:hAnsi="sans-serif" w:eastAsia="仿宋_GB2312" w:cs="仿宋_GB2312"/>
          <w:sz w:val="31"/>
          <w:szCs w:val="31"/>
          <w:lang w:eastAsia="zh-CN"/>
        </w:rPr>
        <w:t>《中华人民共和国政府信息公开条例》</w:t>
      </w:r>
      <w:r>
        <w:rPr>
          <w:rFonts w:hint="eastAsia" w:ascii="仿宋_GB2312" w:hAnsi="sans-serif" w:eastAsia="仿宋_GB2312" w:cs="仿宋_GB2312"/>
          <w:sz w:val="31"/>
          <w:szCs w:val="31"/>
        </w:rPr>
        <w:t>规定，依法处理申请人的政府信息公开申请，我局按照“公开为原则，不公开为例外”的原则，做到“应公开尽公开”。截至</w:t>
      </w:r>
      <w:r>
        <w:rPr>
          <w:rFonts w:hint="eastAsia" w:ascii="仿宋_GB2312" w:hAnsi="sans-serif" w:eastAsia="仿宋_GB2312" w:cs="仿宋_GB2312"/>
          <w:sz w:val="31"/>
          <w:szCs w:val="31"/>
          <w:shd w:val="clear" w:color="auto" w:fill="FFFFFF"/>
        </w:rPr>
        <w:t>2021年12月31日</w:t>
      </w:r>
      <w:r>
        <w:rPr>
          <w:rFonts w:hint="eastAsia" w:ascii="仿宋_GB2312" w:hAnsi="sans-serif" w:eastAsia="仿宋_GB2312" w:cs="仿宋_GB2312"/>
          <w:sz w:val="31"/>
          <w:szCs w:val="31"/>
        </w:rPr>
        <w:t>，我局共收到政府信息公开申请21件，</w:t>
      </w:r>
      <w:r>
        <w:rPr>
          <w:rFonts w:hint="eastAsia" w:ascii="仿宋_GB2312" w:eastAsia="仿宋_GB2312"/>
          <w:sz w:val="32"/>
          <w:szCs w:val="32"/>
        </w:rPr>
        <w:t>均在规定时间内进行处理和回复。其中，18件予以公开，1件为上级交办件，经查相关信息不存在，1件申请人主动撤销申请，1件结转下年度继续办理。</w:t>
      </w:r>
      <w:r>
        <w:rPr>
          <w:rFonts w:hint="eastAsia" w:ascii="仿宋" w:hAnsi="仿宋" w:eastAsia="仿宋"/>
          <w:sz w:val="32"/>
          <w:szCs w:val="28"/>
        </w:rPr>
        <w:t>全年没有因政府信息公开引起申请行政复议和提起行政诉讼的情况。</w:t>
      </w:r>
    </w:p>
    <w:p>
      <w:pPr>
        <w:pStyle w:val="6"/>
        <w:numPr>
          <w:ilvl w:val="0"/>
          <w:numId w:val="2"/>
        </w:numPr>
        <w:shd w:val="clear" w:color="auto" w:fill="FFFFFF"/>
        <w:spacing w:beforeAutospacing="0" w:afterAutospacing="0"/>
        <w:ind w:firstLine="645"/>
        <w:rPr>
          <w:rStyle w:val="9"/>
          <w:rFonts w:hint="eastAsia" w:ascii="仿宋_GB2312" w:hAnsi="sans-serif" w:eastAsia="仿宋_GB2312" w:cs="仿宋_GB2312"/>
          <w:sz w:val="31"/>
          <w:szCs w:val="31"/>
          <w:shd w:val="clear" w:color="auto" w:fill="FFFFFF"/>
        </w:rPr>
      </w:pPr>
      <w:r>
        <w:rPr>
          <w:rStyle w:val="9"/>
          <w:rFonts w:hint="eastAsia" w:ascii="仿宋_GB2312" w:hAnsi="sans-serif" w:eastAsia="仿宋_GB2312" w:cs="仿宋_GB2312"/>
          <w:sz w:val="31"/>
          <w:szCs w:val="31"/>
          <w:shd w:val="clear" w:color="auto" w:fill="FFFFFF"/>
        </w:rPr>
        <w:t>政府信息管理情况</w:t>
      </w:r>
    </w:p>
    <w:p>
      <w:pPr>
        <w:ind w:firstLine="640" w:firstLineChars="200"/>
        <w:rPr>
          <w:rStyle w:val="9"/>
          <w:rFonts w:hint="eastAsia" w:ascii="仿宋_GB2312" w:hAnsi="sans-serif" w:eastAsia="仿宋_GB2312" w:cs="仿宋_GB2312"/>
          <w:sz w:val="31"/>
          <w:szCs w:val="31"/>
          <w:shd w:val="clear" w:color="auto" w:fill="FFFFFF"/>
        </w:rPr>
      </w:pPr>
      <w:r>
        <w:rPr>
          <w:rFonts w:hint="eastAsia" w:ascii="仿宋_GB2312" w:hAnsi="宋体" w:eastAsia="仿宋_GB2312" w:cs="宋体"/>
          <w:kern w:val="0"/>
          <w:sz w:val="32"/>
          <w:szCs w:val="32"/>
        </w:rPr>
        <w:t>建立健全政府信息公开相关工作制度。健全审查、培训、台账管理等政府信息管理制度。成立政府信息公开工作领导小组，由主要领导负总责，分管领导具体按分工负责；各科室负责人为本科室政府信息公开工作的第一责任人；领导小组下设办公室，设在局办公室，负责本局政府信息公开的日常工作，保障政府信息公开工作有效开展。认真贯彻落实发布信息内部审查制度，</w:t>
      </w:r>
      <w:r>
        <w:rPr>
          <w:rFonts w:hint="eastAsia" w:ascii="仿宋_GB2312" w:eastAsia="仿宋_GB2312"/>
          <w:sz w:val="32"/>
          <w:szCs w:val="32"/>
        </w:rPr>
        <w:t>进一步加强公文信息公开工作，规范发布程序，</w:t>
      </w:r>
      <w:r>
        <w:rPr>
          <w:rFonts w:hint="eastAsia" w:ascii="仿宋_GB2312" w:hAnsi="宋体" w:eastAsia="仿宋_GB2312" w:cs="宋体"/>
          <w:kern w:val="0"/>
          <w:sz w:val="32"/>
          <w:szCs w:val="32"/>
        </w:rPr>
        <w:t>按照制作、审查、发布、归档对信息进行全流程管理。</w:t>
      </w:r>
    </w:p>
    <w:p>
      <w:pPr>
        <w:pStyle w:val="6"/>
        <w:shd w:val="clear" w:color="auto" w:fill="FFFFFF"/>
        <w:spacing w:before="0" w:beforeAutospacing="0" w:after="0" w:afterAutospacing="0" w:line="390" w:lineRule="atLeast"/>
        <w:ind w:firstLine="622" w:firstLineChars="200"/>
        <w:rPr>
          <w:rFonts w:ascii="sans-serif" w:hAnsi="sans-serif" w:eastAsia="sans-serif" w:cs="sans-serif"/>
          <w:sz w:val="21"/>
          <w:szCs w:val="21"/>
        </w:rPr>
      </w:pPr>
      <w:r>
        <w:rPr>
          <w:rStyle w:val="9"/>
          <w:rFonts w:hint="eastAsia" w:ascii="仿宋_GB2312" w:hAnsi="sans-serif" w:eastAsia="仿宋_GB2312" w:cs="仿宋_GB2312"/>
          <w:sz w:val="31"/>
          <w:szCs w:val="31"/>
          <w:shd w:val="clear" w:color="auto" w:fill="FFFFFF"/>
        </w:rPr>
        <w:t>（四）平台建设情况</w:t>
      </w:r>
    </w:p>
    <w:p>
      <w:pPr>
        <w:ind w:firstLine="707" w:firstLineChars="221"/>
        <w:rPr>
          <w:rFonts w:ascii="仿宋_GB2312" w:eastAsia="仿宋_GB2312"/>
          <w:sz w:val="32"/>
          <w:szCs w:val="32"/>
        </w:rPr>
      </w:pPr>
      <w:r>
        <w:rPr>
          <w:rFonts w:hint="eastAsia" w:ascii="仿宋_GB2312" w:hAnsi="宋体" w:eastAsia="仿宋_GB2312" w:cs="Times New Roman"/>
          <w:sz w:val="32"/>
          <w:szCs w:val="32"/>
        </w:rPr>
        <w:t>我局高度重视政府信息公开工作，将其纳入全年重点工作之一，</w:t>
      </w:r>
      <w:r>
        <w:rPr>
          <w:rFonts w:hint="eastAsia" w:ascii="仿宋_GB2312" w:hAnsi="sans-serif" w:eastAsia="仿宋_GB2312" w:cs="仿宋_GB2312"/>
          <w:sz w:val="31"/>
          <w:szCs w:val="31"/>
          <w:shd w:val="clear" w:color="auto" w:fill="FFFFFF"/>
        </w:rPr>
        <w:t>加强网络信息发布审核管理，保障公开信息的权威性、准确性和严肃性，杜绝安全问题的发生。</w:t>
      </w:r>
      <w:r>
        <w:rPr>
          <w:rFonts w:hint="eastAsia" w:ascii="仿宋_GB2312" w:hAnsi="宋体" w:eastAsia="仿宋_GB2312" w:cs="Times New Roman"/>
          <w:sz w:val="32"/>
          <w:szCs w:val="32"/>
        </w:rPr>
        <w:t>及时布置和督促落实政府信息公开的各项任务，</w:t>
      </w:r>
      <w:r>
        <w:rPr>
          <w:rFonts w:hint="eastAsia" w:ascii="仿宋_GB2312" w:eastAsia="仿宋_GB2312"/>
          <w:sz w:val="32"/>
          <w:szCs w:val="32"/>
        </w:rPr>
        <w:t>不断完善我局在区政府门户网站信息公开栏目的各项功能设置，及时调整和更新网上服务事项，确保公众能够通过多种渠道及时获取公开信息。进一步加大官方微信公众号平台建设力度，及时发布市场监管领域各项主动公开信息，及时回应食药安全、质量抽检等民生关切内容。</w:t>
      </w:r>
    </w:p>
    <w:p>
      <w:pPr>
        <w:ind w:firstLine="643" w:firstLineChars="200"/>
        <w:rPr>
          <w:rFonts w:ascii="仿宋_GB2312" w:eastAsia="仿宋_GB2312"/>
          <w:b/>
          <w:bCs/>
          <w:sz w:val="32"/>
          <w:szCs w:val="32"/>
        </w:rPr>
      </w:pPr>
      <w:r>
        <w:rPr>
          <w:rFonts w:hint="eastAsia" w:ascii="仿宋_GB2312" w:eastAsia="仿宋_GB2312"/>
          <w:b/>
          <w:bCs/>
          <w:sz w:val="32"/>
          <w:szCs w:val="32"/>
        </w:rPr>
        <w:t>（五）监督保障</w:t>
      </w:r>
      <w:r>
        <w:rPr>
          <w:rStyle w:val="9"/>
          <w:rFonts w:hint="eastAsia" w:ascii="仿宋_GB2312" w:hAnsi="sans-serif" w:eastAsia="仿宋_GB2312" w:cs="仿宋_GB2312"/>
          <w:sz w:val="31"/>
          <w:szCs w:val="31"/>
          <w:shd w:val="clear" w:color="auto" w:fill="FFFFFF"/>
        </w:rPr>
        <w:t>情况</w:t>
      </w:r>
    </w:p>
    <w:p>
      <w:pPr>
        <w:widowControl/>
        <w:shd w:val="clear" w:color="auto" w:fill="FFFFFF"/>
        <w:ind w:firstLine="640" w:firstLineChars="200"/>
        <w:rPr>
          <w:rFonts w:ascii="仿宋_GB2312" w:hAnsi="宋体" w:eastAsia="仿宋_GB2312" w:cs="宋体"/>
          <w:kern w:val="0"/>
          <w:sz w:val="32"/>
          <w:szCs w:val="32"/>
        </w:rPr>
      </w:pPr>
      <w:r>
        <w:rPr>
          <w:rFonts w:hint="eastAsia" w:ascii="仿宋_GB2312" w:eastAsia="仿宋_GB2312"/>
          <w:sz w:val="32"/>
          <w:szCs w:val="32"/>
        </w:rPr>
        <w:t>在监督保障方面，</w:t>
      </w:r>
      <w:r>
        <w:rPr>
          <w:rFonts w:hint="eastAsia" w:ascii="仿宋_GB2312" w:hAnsi="sans-serif" w:eastAsia="仿宋_GB2312" w:cs="仿宋_GB2312"/>
          <w:sz w:val="31"/>
          <w:szCs w:val="31"/>
          <w:shd w:val="clear" w:color="auto" w:fill="FFFFFF"/>
        </w:rPr>
        <w:t>明确“专人负责、专人管理”、“谁报送、谁负责”、“谁发布、谁负责”的原则。</w:t>
      </w:r>
      <w:r>
        <w:rPr>
          <w:rFonts w:hint="eastAsia" w:ascii="仿宋_GB2312" w:hAnsi="宋体" w:eastAsia="仿宋_GB2312" w:cs="宋体"/>
          <w:kern w:val="0"/>
          <w:sz w:val="32"/>
          <w:szCs w:val="32"/>
        </w:rPr>
        <w:t>局办公室持续加大督查考核力度，对政府信息公开内容、公开效果、投诉处理落实情况进行监督，定期对各科室主动公开信息情况进行检查，及时发现存在的问题并提出整改措施，确保政府信息公开及时、准确、全面；对第三方评测机构评测发现的问题及时进行整改，确保本局政务信息公开工作规范开展；积极参加政务信息公开业务培训，切实提升政府信息公开工作水平。</w:t>
      </w:r>
      <w:r>
        <w:rPr>
          <w:rFonts w:hint="eastAsia" w:ascii="仿宋" w:hAnsi="仿宋" w:eastAsia="仿宋"/>
          <w:sz w:val="32"/>
          <w:szCs w:val="28"/>
        </w:rPr>
        <w:t>全年没有</w:t>
      </w:r>
      <w:r>
        <w:rPr>
          <w:rFonts w:hint="eastAsia" w:ascii="仿宋_GB2312" w:hAnsi="宋体" w:eastAsia="仿宋_GB2312" w:cs="宋体"/>
          <w:kern w:val="0"/>
          <w:sz w:val="32"/>
          <w:szCs w:val="32"/>
        </w:rPr>
        <w:t>发生政府信息公开责任追究的情况</w:t>
      </w:r>
      <w:r>
        <w:rPr>
          <w:rFonts w:hint="eastAsia" w:ascii="仿宋" w:hAnsi="仿宋" w:eastAsia="仿宋"/>
          <w:sz w:val="32"/>
          <w:szCs w:val="28"/>
        </w:rPr>
        <w:t>。</w:t>
      </w:r>
    </w:p>
    <w:p>
      <w:pPr>
        <w:widowControl/>
        <w:shd w:val="clear" w:color="auto" w:fill="FFFFFF"/>
        <w:rPr>
          <w:rFonts w:ascii="宋体" w:hAnsi="宋体" w:cs="宋体"/>
          <w:kern w:val="0"/>
          <w:sz w:val="24"/>
          <w:szCs w:val="24"/>
        </w:rPr>
      </w:pPr>
      <w:r>
        <w:rPr>
          <w:rFonts w:hint="eastAsia" w:ascii="仿宋_GB2312" w:hAnsi="宋体" w:eastAsia="仿宋_GB2312" w:cs="宋体"/>
          <w:b/>
          <w:bCs/>
          <w:kern w:val="0"/>
          <w:sz w:val="32"/>
          <w:szCs w:val="32"/>
        </w:rPr>
        <w:t>二、主动公开政府信息情况</w:t>
      </w:r>
    </w:p>
    <w:tbl>
      <w:tblPr>
        <w:tblStyle w:val="7"/>
        <w:tblW w:w="9740" w:type="dxa"/>
        <w:jc w:val="center"/>
        <w:tblLayout w:type="fixed"/>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信息内容</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本年</w:t>
            </w:r>
            <w:r>
              <w:rPr>
                <w:rFonts w:ascii="宋体" w:hAnsi="宋体"/>
                <w:kern w:val="0"/>
                <w:sz w:val="20"/>
                <w:szCs w:val="20"/>
              </w:rPr>
              <w:t>制</w:t>
            </w:r>
            <w:r>
              <w:rPr>
                <w:rFonts w:hint="eastAsia" w:ascii="宋体" w:hAnsi="宋体" w:cs="宋体"/>
                <w:kern w:val="0"/>
                <w:sz w:val="20"/>
                <w:szCs w:val="20"/>
              </w:rPr>
              <w:t>发件</w:t>
            </w:r>
            <w:r>
              <w:rPr>
                <w:rFonts w:ascii="宋体" w:hAnsi="宋体"/>
                <w:kern w:val="0"/>
                <w:sz w:val="20"/>
                <w:szCs w:val="20"/>
              </w:rPr>
              <w:t>数</w:t>
            </w:r>
          </w:p>
        </w:tc>
        <w:tc>
          <w:tcPr>
            <w:tcW w:w="2435" w:type="dxa"/>
            <w:tcBorders>
              <w:top w:val="single" w:color="auto" w:sz="8" w:space="0"/>
              <w:left w:val="nil"/>
              <w:bottom w:val="single" w:color="auto" w:sz="8" w:space="0"/>
              <w:right w:val="single" w:color="auto" w:sz="4" w:space="0"/>
            </w:tcBorders>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本年废止件数</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现行有效件</w:t>
            </w:r>
            <w:r>
              <w:rPr>
                <w:rFonts w:ascii="宋体" w:hAnsi="宋体"/>
                <w:kern w:val="0"/>
                <w:sz w:val="20"/>
                <w:szCs w:val="20"/>
              </w:rPr>
              <w:t>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规章</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2435" w:type="dxa"/>
            <w:tcBorders>
              <w:top w:val="nil"/>
              <w:left w:val="nil"/>
              <w:bottom w:val="single" w:color="auto" w:sz="8" w:space="0"/>
              <w:right w:val="single" w:color="auto" w:sz="4" w:space="0"/>
            </w:tcBorders>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4"/>
                <w:szCs w:val="24"/>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4"/>
                <w:szCs w:val="24"/>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行政规范性文件</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2435" w:type="dxa"/>
            <w:tcBorders>
              <w:top w:val="nil"/>
              <w:left w:val="nil"/>
              <w:bottom w:val="single" w:color="auto" w:sz="8" w:space="0"/>
              <w:right w:val="single" w:color="auto" w:sz="4" w:space="0"/>
            </w:tcBorders>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4" w:space="0"/>
            </w:tcBorders>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信息内容</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single" w:color="auto" w:sz="8" w:space="0"/>
              <w:left w:val="single" w:color="auto" w:sz="8" w:space="0"/>
              <w:bottom w:val="single" w:color="auto" w:sz="8" w:space="0"/>
              <w:right w:val="single" w:color="auto" w:sz="4" w:space="0"/>
            </w:tcBorders>
            <w:tcMar>
              <w:top w:w="0" w:type="dxa"/>
              <w:left w:w="57" w:type="dxa"/>
              <w:bottom w:w="0" w:type="dxa"/>
              <w:right w:w="57" w:type="dxa"/>
            </w:tcMar>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行政许可</w:t>
            </w:r>
          </w:p>
        </w:tc>
        <w:tc>
          <w:tcPr>
            <w:tcW w:w="7305" w:type="dxa"/>
            <w:gridSpan w:val="3"/>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rPr>
              <w:t>78294</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信息内容</w:t>
            </w:r>
          </w:p>
        </w:tc>
        <w:tc>
          <w:tcPr>
            <w:tcW w:w="7305" w:type="dxa"/>
            <w:gridSpan w:val="3"/>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行政处罚</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ascii="微软雅黑" w:hAnsi="微软雅黑" w:eastAsia="微软雅黑" w:cs="微软雅黑"/>
                <w:szCs w:val="21"/>
                <w:shd w:val="clear" w:color="auto" w:fill="FFFFFF"/>
              </w:rPr>
              <w:t>1247</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行政强制</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信息内容</w:t>
            </w:r>
          </w:p>
        </w:tc>
        <w:tc>
          <w:tcPr>
            <w:tcW w:w="7305"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行政事业性收费</w:t>
            </w:r>
          </w:p>
        </w:tc>
        <w:tc>
          <w:tcPr>
            <w:tcW w:w="7305"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widowControl/>
              <w:spacing w:line="480" w:lineRule="exact"/>
              <w:jc w:val="center"/>
              <w:rPr>
                <w:rFonts w:ascii="宋体" w:hAnsi="宋体" w:cs="宋体"/>
                <w:kern w:val="0"/>
              </w:rPr>
            </w:pPr>
            <w:r>
              <w:rPr>
                <w:rFonts w:hint="eastAsia" w:ascii="宋体" w:hAnsi="宋体" w:cs="宋体"/>
                <w:kern w:val="0"/>
              </w:rPr>
              <w:t>0</w:t>
            </w:r>
          </w:p>
        </w:tc>
      </w:tr>
    </w:tbl>
    <w:p>
      <w:pPr>
        <w:widowControl/>
        <w:spacing w:line="432" w:lineRule="auto"/>
        <w:jc w:val="left"/>
        <w:rPr>
          <w:rFonts w:ascii="宋体" w:hAnsi="宋体" w:cs="宋体"/>
          <w:kern w:val="0"/>
          <w:sz w:val="24"/>
          <w:szCs w:val="24"/>
        </w:rPr>
      </w:pPr>
    </w:p>
    <w:p>
      <w:pPr>
        <w:widowControl/>
        <w:shd w:val="clear" w:color="auto" w:fill="FFFFFF"/>
        <w:rPr>
          <w:rFonts w:ascii="仿宋_GB2312" w:hAnsi="宋体" w:eastAsia="仿宋_GB2312" w:cs="宋体"/>
          <w:b/>
          <w:bCs/>
          <w:kern w:val="0"/>
          <w:sz w:val="32"/>
          <w:szCs w:val="32"/>
        </w:rPr>
      </w:pPr>
      <w:r>
        <w:rPr>
          <w:rFonts w:hint="eastAsia" w:ascii="仿宋_GB2312" w:hAnsi="宋体" w:eastAsia="仿宋_GB2312" w:cs="宋体"/>
          <w:b/>
          <w:bCs/>
          <w:kern w:val="0"/>
          <w:sz w:val="32"/>
          <w:szCs w:val="32"/>
        </w:rPr>
        <w:t>三、收到和处理政府信息公开申请情况</w:t>
      </w:r>
    </w:p>
    <w:p>
      <w:pPr>
        <w:widowControl/>
        <w:spacing w:line="432" w:lineRule="auto"/>
        <w:ind w:firstLine="480"/>
        <w:rPr>
          <w:rFonts w:ascii="宋体" w:hAnsi="宋体" w:cs="宋体"/>
          <w:kern w:val="0"/>
          <w:sz w:val="24"/>
          <w:szCs w:val="24"/>
        </w:rPr>
      </w:pPr>
    </w:p>
    <w:tbl>
      <w:tblPr>
        <w:tblStyle w:val="7"/>
        <w:tblW w:w="9748"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57" w:type="dxa"/>
          <w:bottom w:w="0" w:type="dxa"/>
          <w:right w:w="57" w:type="dxa"/>
        </w:tblCellMar>
      </w:tblPr>
      <w:tblGrid>
        <w:gridCol w:w="754"/>
        <w:gridCol w:w="921"/>
        <w:gridCol w:w="3257"/>
        <w:gridCol w:w="688"/>
        <w:gridCol w:w="688"/>
        <w:gridCol w:w="688"/>
        <w:gridCol w:w="688"/>
        <w:gridCol w:w="688"/>
        <w:gridCol w:w="688"/>
        <w:gridCol w:w="688"/>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4932" w:type="dxa"/>
            <w:gridSpan w:val="3"/>
            <w:vMerge w:val="restart"/>
            <w:tcBorders>
              <w:top w:val="single" w:color="auto" w:sz="8" w:space="0"/>
              <w:left w:val="single" w:color="auto" w:sz="8" w:space="0"/>
              <w:bottom w:val="inset" w:color="auto" w:sz="6" w:space="0"/>
              <w:right w:val="single" w:color="auto" w:sz="8" w:space="0"/>
            </w:tcBorders>
            <w:tcMar>
              <w:top w:w="0" w:type="dxa"/>
              <w:left w:w="108" w:type="dxa"/>
              <w:bottom w:w="0" w:type="dxa"/>
              <w:right w:w="108" w:type="dxa"/>
            </w:tcMar>
            <w:vAlign w:val="center"/>
          </w:tcPr>
          <w:p>
            <w:pPr>
              <w:widowControl/>
              <w:spacing w:line="480" w:lineRule="exact"/>
              <w:jc w:val="left"/>
              <w:rPr>
                <w:rFonts w:ascii="宋体" w:hAnsi="宋体" w:cs="宋体"/>
                <w:kern w:val="0"/>
                <w:sz w:val="24"/>
                <w:szCs w:val="24"/>
              </w:rPr>
            </w:pPr>
            <w:r>
              <w:rPr>
                <w:rFonts w:hint="eastAsia" w:ascii="楷体" w:hAnsi="楷体" w:eastAsia="楷体" w:cs="宋体"/>
                <w:kern w:val="0"/>
                <w:sz w:val="20"/>
                <w:szCs w:val="20"/>
              </w:rPr>
              <w:t>（本列数据的勾稽关系为：第一项加第二项之和，等于第三项加第四项之和）</w:t>
            </w:r>
          </w:p>
        </w:tc>
        <w:tc>
          <w:tcPr>
            <w:tcW w:w="4816" w:type="dxa"/>
            <w:gridSpan w:val="7"/>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申请人情况</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4932" w:type="dxa"/>
            <w:gridSpan w:val="3"/>
            <w:vMerge w:val="continue"/>
            <w:tcBorders>
              <w:top w:val="single" w:color="auto" w:sz="8" w:space="0"/>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688" w:type="dxa"/>
            <w:vMerge w:val="restart"/>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自然人</w:t>
            </w:r>
          </w:p>
        </w:tc>
        <w:tc>
          <w:tcPr>
            <w:tcW w:w="3440" w:type="dxa"/>
            <w:gridSpan w:val="5"/>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法人或其他组织</w:t>
            </w:r>
          </w:p>
        </w:tc>
        <w:tc>
          <w:tcPr>
            <w:tcW w:w="688" w:type="dxa"/>
            <w:vMerge w:val="restart"/>
            <w:tcBorders>
              <w:top w:val="single" w:color="auto" w:sz="8" w:space="0"/>
              <w:left w:val="nil"/>
              <w:bottom w:val="inset" w:color="auto" w:sz="6"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4932" w:type="dxa"/>
            <w:gridSpan w:val="3"/>
            <w:vMerge w:val="continue"/>
            <w:tcBorders>
              <w:top w:val="single" w:color="auto" w:sz="8" w:space="0"/>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688" w:type="dxa"/>
            <w:vMerge w:val="continue"/>
            <w:tcBorders>
              <w:top w:val="nil"/>
              <w:left w:val="nil"/>
              <w:bottom w:val="single" w:color="auto" w:sz="8" w:space="0"/>
              <w:right w:val="single" w:color="auto" w:sz="8" w:space="0"/>
            </w:tcBorders>
            <w:vAlign w:val="center"/>
          </w:tcPr>
          <w:p>
            <w:pPr>
              <w:widowControl/>
              <w:spacing w:line="480" w:lineRule="exact"/>
              <w:jc w:val="left"/>
              <w:rPr>
                <w:rFonts w:ascii="宋体" w:hAnsi="宋体" w:cs="宋体"/>
                <w:kern w:val="0"/>
                <w:sz w:val="24"/>
                <w:szCs w:val="24"/>
              </w:rPr>
            </w:pP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商业</w:t>
            </w:r>
          </w:p>
          <w:p>
            <w:pPr>
              <w:widowControl/>
              <w:spacing w:line="480" w:lineRule="exact"/>
              <w:jc w:val="center"/>
              <w:rPr>
                <w:rFonts w:ascii="宋体" w:hAnsi="宋体" w:cs="宋体"/>
                <w:kern w:val="0"/>
                <w:sz w:val="24"/>
                <w:szCs w:val="24"/>
              </w:rPr>
            </w:pPr>
            <w:r>
              <w:rPr>
                <w:rFonts w:hint="eastAsia" w:ascii="宋体" w:hAnsi="宋体" w:cs="宋体"/>
                <w:kern w:val="0"/>
                <w:sz w:val="20"/>
                <w:szCs w:val="20"/>
              </w:rPr>
              <w:t>企业</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科研</w:t>
            </w:r>
          </w:p>
          <w:p>
            <w:pPr>
              <w:widowControl/>
              <w:spacing w:line="480" w:lineRule="exact"/>
              <w:jc w:val="center"/>
              <w:rPr>
                <w:rFonts w:ascii="宋体" w:hAnsi="宋体" w:cs="宋体"/>
                <w:kern w:val="0"/>
                <w:sz w:val="24"/>
                <w:szCs w:val="24"/>
              </w:rPr>
            </w:pPr>
            <w:r>
              <w:rPr>
                <w:rFonts w:hint="eastAsia" w:ascii="宋体" w:hAnsi="宋体" w:cs="宋体"/>
                <w:kern w:val="0"/>
                <w:sz w:val="20"/>
                <w:szCs w:val="20"/>
              </w:rPr>
              <w:t>机构</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社会公益组织</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法律服务机构</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其他</w:t>
            </w:r>
          </w:p>
        </w:tc>
        <w:tc>
          <w:tcPr>
            <w:tcW w:w="688" w:type="dxa"/>
            <w:vMerge w:val="continue"/>
            <w:tcBorders>
              <w:top w:val="single" w:color="auto" w:sz="8" w:space="0"/>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4932" w:type="dxa"/>
            <w:gridSpan w:val="3"/>
            <w:tcBorders>
              <w:top w:val="nil"/>
              <w:left w:val="single" w:color="auto" w:sz="8" w:space="0"/>
              <w:bottom w:val="single" w:color="auto" w:sz="8" w:space="0"/>
              <w:right w:val="single" w:color="auto" w:sz="8" w:space="0"/>
            </w:tcBorders>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一、本年新收政府信息公开申请数量</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20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1</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r>
              <w:rPr>
                <w:kern w:val="0"/>
                <w:sz w:val="20"/>
                <w:szCs w:val="20"/>
              </w:rPr>
              <w:t> </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21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4932" w:type="dxa"/>
            <w:gridSpan w:val="3"/>
            <w:tcBorders>
              <w:top w:val="nil"/>
              <w:left w:val="single" w:color="auto" w:sz="8" w:space="0"/>
              <w:bottom w:val="single" w:color="auto" w:sz="8" w:space="0"/>
              <w:right w:val="single" w:color="auto" w:sz="8" w:space="0"/>
            </w:tcBorders>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二、上年结转政府信息公开申请数量</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r>
              <w:rPr>
                <w:kern w:val="0"/>
                <w:sz w:val="20"/>
                <w:szCs w:val="20"/>
              </w:rPr>
              <w:t> </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restart"/>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三、本年度办理结果</w:t>
            </w:r>
          </w:p>
        </w:tc>
        <w:tc>
          <w:tcPr>
            <w:tcW w:w="4178" w:type="dxa"/>
            <w:gridSpan w:val="2"/>
            <w:tcBorders>
              <w:top w:val="nil"/>
              <w:left w:val="nil"/>
              <w:bottom w:val="single" w:color="auto" w:sz="8" w:space="0"/>
              <w:right w:val="single" w:color="auto" w:sz="8" w:space="0"/>
            </w:tcBorders>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（一）予以公开</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18</w:t>
            </w:r>
            <w:r>
              <w:rPr>
                <w:kern w:val="0"/>
                <w:sz w:val="20"/>
                <w:szCs w:val="20"/>
              </w:rPr>
              <w:t> </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1</w:t>
            </w:r>
            <w:r>
              <w:rPr>
                <w:kern w:val="0"/>
                <w:sz w:val="20"/>
                <w:szCs w:val="20"/>
              </w:rPr>
              <w:t> </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r>
              <w:rPr>
                <w:kern w:val="0"/>
                <w:sz w:val="20"/>
                <w:szCs w:val="20"/>
              </w:rPr>
              <w:t> </w:t>
            </w:r>
          </w:p>
        </w:tc>
        <w:tc>
          <w:tcPr>
            <w:tcW w:w="688" w:type="dxa"/>
            <w:tcBorders>
              <w:top w:val="single" w:color="auto" w:sz="8" w:space="0"/>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19</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4178" w:type="dxa"/>
            <w:gridSpan w:val="2"/>
            <w:tcBorders>
              <w:top w:val="nil"/>
              <w:left w:val="nil"/>
              <w:bottom w:val="single" w:color="auto" w:sz="8" w:space="0"/>
              <w:right w:val="single" w:color="auto" w:sz="8" w:space="0"/>
            </w:tcBorders>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（二）部分公开</w:t>
            </w:r>
            <w:r>
              <w:rPr>
                <w:rFonts w:hint="eastAsia" w:ascii="楷体" w:hAnsi="楷体" w:eastAsia="楷体" w:cs="宋体"/>
                <w:kern w:val="0"/>
                <w:sz w:val="20"/>
                <w:szCs w:val="20"/>
              </w:rPr>
              <w:t>（区分处理的，只计这一情形，不计其他情形）</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r>
              <w:rPr>
                <w:kern w:val="0"/>
                <w:sz w:val="20"/>
                <w:szCs w:val="20"/>
              </w:rPr>
              <w:t> </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r>
              <w:rPr>
                <w:kern w:val="0"/>
                <w:sz w:val="20"/>
                <w:szCs w:val="20"/>
              </w:rPr>
              <w:t> </w:t>
            </w:r>
          </w:p>
        </w:tc>
        <w:tc>
          <w:tcPr>
            <w:tcW w:w="688" w:type="dxa"/>
            <w:tcBorders>
              <w:top w:val="nil"/>
              <w:left w:val="nil"/>
              <w:bottom w:val="single" w:color="auto" w:sz="8" w:space="0"/>
              <w:right w:val="single" w:color="auto" w:sz="8" w:space="0"/>
            </w:tcBorders>
          </w:tcPr>
          <w:p>
            <w:pPr>
              <w:widowControl/>
              <w:spacing w:line="480" w:lineRule="exact"/>
              <w:rPr>
                <w:rFonts w:ascii="宋体" w:hAnsi="宋体" w:cs="宋体"/>
                <w:kern w:val="0"/>
                <w:sz w:val="24"/>
                <w:szCs w:val="24"/>
              </w:rPr>
            </w:pPr>
            <w:r>
              <w:rPr>
                <w:rFonts w:hint="eastAsia" w:ascii="宋体" w:hAnsi="宋体" w:cs="宋体"/>
                <w:kern w:val="0"/>
                <w:sz w:val="24"/>
                <w:szCs w:val="24"/>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restart"/>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（三）不予公开</w:t>
            </w:r>
          </w:p>
        </w:tc>
        <w:tc>
          <w:tcPr>
            <w:tcW w:w="3257" w:type="dxa"/>
            <w:tcBorders>
              <w:top w:val="nil"/>
              <w:left w:val="nil"/>
              <w:bottom w:val="single" w:color="auto" w:sz="8" w:space="0"/>
              <w:right w:val="single" w:color="auto" w:sz="8" w:space="0"/>
            </w:tcBorders>
          </w:tcPr>
          <w:p>
            <w:pPr>
              <w:widowControl/>
              <w:spacing w:line="480" w:lineRule="exact"/>
              <w:jc w:val="left"/>
              <w:rPr>
                <w:rFonts w:ascii="宋体" w:hAnsi="宋体" w:cs="宋体"/>
                <w:kern w:val="0"/>
                <w:sz w:val="24"/>
                <w:szCs w:val="24"/>
              </w:rPr>
            </w:pPr>
            <w:r>
              <w:rPr>
                <w:rFonts w:hint="eastAsia" w:ascii="宋体" w:hAnsi="宋体" w:cs="宋体"/>
                <w:kern w:val="0"/>
                <w:sz w:val="20"/>
                <w:szCs w:val="20"/>
              </w:rPr>
              <w:t>1.属于国家秘密</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r>
              <w:rPr>
                <w:kern w:val="0"/>
                <w:sz w:val="20"/>
                <w:szCs w:val="20"/>
              </w:rPr>
              <w:t> </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r>
              <w:rPr>
                <w:kern w:val="0"/>
                <w:sz w:val="20"/>
                <w:szCs w:val="20"/>
              </w:rPr>
              <w:t> </w:t>
            </w:r>
          </w:p>
        </w:tc>
        <w:tc>
          <w:tcPr>
            <w:tcW w:w="688" w:type="dxa"/>
            <w:tcBorders>
              <w:top w:val="single" w:color="auto" w:sz="8" w:space="0"/>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rPr>
              <w:t>0</w:t>
            </w:r>
            <w:r>
              <w:rPr>
                <w:kern w:val="0"/>
                <w:sz w:val="20"/>
                <w:szCs w:val="20"/>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continue"/>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3257" w:type="dxa"/>
            <w:tcBorders>
              <w:top w:val="nil"/>
              <w:left w:val="nil"/>
              <w:bottom w:val="single" w:color="auto" w:sz="8" w:space="0"/>
              <w:right w:val="single" w:color="auto" w:sz="8" w:space="0"/>
            </w:tcBorders>
          </w:tcPr>
          <w:p>
            <w:pPr>
              <w:widowControl/>
              <w:spacing w:line="480" w:lineRule="exact"/>
              <w:jc w:val="left"/>
              <w:rPr>
                <w:rFonts w:ascii="宋体" w:hAnsi="宋体" w:cs="宋体"/>
                <w:kern w:val="0"/>
                <w:sz w:val="24"/>
                <w:szCs w:val="24"/>
              </w:rPr>
            </w:pPr>
            <w:r>
              <w:rPr>
                <w:rFonts w:hint="eastAsia" w:ascii="宋体" w:hAnsi="宋体" w:cs="宋体"/>
                <w:kern w:val="0"/>
                <w:sz w:val="20"/>
                <w:szCs w:val="20"/>
              </w:rPr>
              <w:t>2.其他法律行政法规禁止公开</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r>
              <w:rPr>
                <w:kern w:val="0"/>
                <w:sz w:val="20"/>
                <w:szCs w:val="20"/>
              </w:rPr>
              <w:t> </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r>
              <w:rPr>
                <w:kern w:val="0"/>
                <w:sz w:val="20"/>
                <w:szCs w:val="20"/>
              </w:rPr>
              <w:t> </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rPr>
              <w:t>0</w:t>
            </w:r>
            <w:r>
              <w:rPr>
                <w:kern w:val="0"/>
                <w:sz w:val="20"/>
                <w:szCs w:val="20"/>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continue"/>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3257" w:type="dxa"/>
            <w:tcBorders>
              <w:top w:val="nil"/>
              <w:left w:val="nil"/>
              <w:bottom w:val="single" w:color="auto" w:sz="8" w:space="0"/>
              <w:right w:val="single" w:color="auto" w:sz="8" w:space="0"/>
            </w:tcBorders>
          </w:tcPr>
          <w:p>
            <w:pPr>
              <w:widowControl/>
              <w:spacing w:line="480" w:lineRule="exact"/>
              <w:jc w:val="left"/>
              <w:rPr>
                <w:rFonts w:ascii="宋体" w:hAnsi="宋体" w:cs="宋体"/>
                <w:kern w:val="0"/>
                <w:sz w:val="24"/>
                <w:szCs w:val="24"/>
              </w:rPr>
            </w:pPr>
            <w:r>
              <w:rPr>
                <w:rFonts w:hint="eastAsia" w:ascii="宋体" w:hAnsi="宋体" w:cs="宋体"/>
                <w:kern w:val="0"/>
                <w:sz w:val="20"/>
                <w:szCs w:val="20"/>
              </w:rPr>
              <w:t>3.危及“三安全一稳定”</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r>
              <w:rPr>
                <w:kern w:val="0"/>
                <w:sz w:val="20"/>
                <w:szCs w:val="20"/>
              </w:rPr>
              <w:t> </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r>
              <w:rPr>
                <w:kern w:val="0"/>
                <w:sz w:val="20"/>
                <w:szCs w:val="20"/>
              </w:rPr>
              <w:t> </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rPr>
              <w:t>0</w:t>
            </w:r>
            <w:r>
              <w:rPr>
                <w:kern w:val="0"/>
                <w:sz w:val="20"/>
                <w:szCs w:val="20"/>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continue"/>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3257" w:type="dxa"/>
            <w:tcBorders>
              <w:top w:val="nil"/>
              <w:left w:val="nil"/>
              <w:bottom w:val="single" w:color="auto" w:sz="8" w:space="0"/>
              <w:right w:val="single" w:color="auto" w:sz="8" w:space="0"/>
            </w:tcBorders>
          </w:tcPr>
          <w:p>
            <w:pPr>
              <w:widowControl/>
              <w:spacing w:line="480" w:lineRule="exact"/>
              <w:jc w:val="left"/>
              <w:rPr>
                <w:rFonts w:ascii="宋体" w:hAnsi="宋体" w:cs="宋体"/>
                <w:kern w:val="0"/>
                <w:sz w:val="24"/>
                <w:szCs w:val="24"/>
              </w:rPr>
            </w:pPr>
            <w:r>
              <w:rPr>
                <w:rFonts w:hint="eastAsia" w:ascii="宋体" w:hAnsi="宋体" w:cs="宋体"/>
                <w:kern w:val="0"/>
                <w:sz w:val="20"/>
                <w:szCs w:val="20"/>
              </w:rPr>
              <w:t>4.保护第三方合法权益</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r>
              <w:rPr>
                <w:kern w:val="0"/>
                <w:sz w:val="20"/>
                <w:szCs w:val="20"/>
              </w:rPr>
              <w:t> </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r>
              <w:rPr>
                <w:kern w:val="0"/>
                <w:sz w:val="20"/>
                <w:szCs w:val="20"/>
              </w:rPr>
              <w:t> </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rPr>
              <w:t>0</w:t>
            </w:r>
            <w:r>
              <w:rPr>
                <w:kern w:val="0"/>
                <w:sz w:val="20"/>
                <w:szCs w:val="20"/>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continue"/>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3257" w:type="dxa"/>
            <w:tcBorders>
              <w:top w:val="nil"/>
              <w:left w:val="nil"/>
              <w:bottom w:val="single" w:color="auto" w:sz="8" w:space="0"/>
              <w:right w:val="single" w:color="auto" w:sz="8" w:space="0"/>
            </w:tcBorders>
          </w:tcPr>
          <w:p>
            <w:pPr>
              <w:widowControl/>
              <w:spacing w:line="480" w:lineRule="exact"/>
              <w:jc w:val="left"/>
              <w:rPr>
                <w:rFonts w:ascii="宋体" w:hAnsi="宋体" w:cs="宋体"/>
                <w:kern w:val="0"/>
                <w:sz w:val="24"/>
                <w:szCs w:val="24"/>
              </w:rPr>
            </w:pPr>
            <w:r>
              <w:rPr>
                <w:rFonts w:hint="eastAsia" w:ascii="宋体" w:hAnsi="宋体" w:cs="宋体"/>
                <w:kern w:val="0"/>
                <w:sz w:val="20"/>
                <w:szCs w:val="20"/>
              </w:rPr>
              <w:t>5.属于三类内部事务信息</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r>
              <w:rPr>
                <w:kern w:val="0"/>
                <w:sz w:val="20"/>
                <w:szCs w:val="20"/>
              </w:rPr>
              <w:t> </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r>
              <w:rPr>
                <w:kern w:val="0"/>
                <w:sz w:val="20"/>
                <w:szCs w:val="20"/>
              </w:rPr>
              <w:t> </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rPr>
              <w:t>0</w:t>
            </w:r>
            <w:r>
              <w:rPr>
                <w:kern w:val="0"/>
                <w:sz w:val="20"/>
                <w:szCs w:val="20"/>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continue"/>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3257" w:type="dxa"/>
            <w:tcBorders>
              <w:top w:val="nil"/>
              <w:left w:val="nil"/>
              <w:bottom w:val="single" w:color="auto" w:sz="8" w:space="0"/>
              <w:right w:val="single" w:color="auto" w:sz="8" w:space="0"/>
            </w:tcBorders>
          </w:tcPr>
          <w:p>
            <w:pPr>
              <w:widowControl/>
              <w:spacing w:line="480" w:lineRule="exact"/>
              <w:jc w:val="left"/>
              <w:rPr>
                <w:rFonts w:ascii="宋体" w:hAnsi="宋体" w:cs="宋体"/>
                <w:kern w:val="0"/>
                <w:sz w:val="24"/>
                <w:szCs w:val="24"/>
              </w:rPr>
            </w:pPr>
            <w:r>
              <w:rPr>
                <w:rFonts w:hint="eastAsia" w:ascii="宋体" w:hAnsi="宋体" w:cs="宋体"/>
                <w:kern w:val="0"/>
                <w:sz w:val="20"/>
                <w:szCs w:val="20"/>
              </w:rPr>
              <w:t>6.属于四类过程性信息</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r>
              <w:rPr>
                <w:kern w:val="0"/>
                <w:sz w:val="20"/>
                <w:szCs w:val="20"/>
              </w:rPr>
              <w:t> </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r>
              <w:rPr>
                <w:kern w:val="0"/>
                <w:sz w:val="20"/>
                <w:szCs w:val="20"/>
              </w:rPr>
              <w:t> </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rPr>
              <w:t>0</w:t>
            </w:r>
            <w:r>
              <w:rPr>
                <w:kern w:val="0"/>
                <w:sz w:val="20"/>
                <w:szCs w:val="20"/>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continue"/>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3257" w:type="dxa"/>
            <w:tcBorders>
              <w:top w:val="nil"/>
              <w:left w:val="nil"/>
              <w:bottom w:val="single" w:color="auto" w:sz="8" w:space="0"/>
              <w:right w:val="single" w:color="auto" w:sz="8" w:space="0"/>
            </w:tcBorders>
          </w:tcPr>
          <w:p>
            <w:pPr>
              <w:widowControl/>
              <w:spacing w:line="480" w:lineRule="exact"/>
              <w:jc w:val="left"/>
              <w:rPr>
                <w:rFonts w:ascii="宋体" w:hAnsi="宋体" w:cs="宋体"/>
                <w:kern w:val="0"/>
                <w:sz w:val="24"/>
                <w:szCs w:val="24"/>
              </w:rPr>
            </w:pPr>
            <w:r>
              <w:rPr>
                <w:rFonts w:hint="eastAsia" w:ascii="宋体" w:hAnsi="宋体" w:cs="宋体"/>
                <w:kern w:val="0"/>
                <w:sz w:val="20"/>
                <w:szCs w:val="20"/>
              </w:rPr>
              <w:t>7.属于行政执法案卷</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r>
              <w:rPr>
                <w:kern w:val="0"/>
                <w:sz w:val="20"/>
                <w:szCs w:val="20"/>
              </w:rPr>
              <w:t> </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r>
              <w:rPr>
                <w:kern w:val="0"/>
                <w:sz w:val="20"/>
                <w:szCs w:val="20"/>
              </w:rPr>
              <w:t> </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rPr>
              <w:t>0</w:t>
            </w:r>
            <w:r>
              <w:rPr>
                <w:kern w:val="0"/>
                <w:sz w:val="20"/>
                <w:szCs w:val="20"/>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continue"/>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3257" w:type="dxa"/>
            <w:tcBorders>
              <w:top w:val="nil"/>
              <w:left w:val="nil"/>
              <w:bottom w:val="single" w:color="auto" w:sz="8" w:space="0"/>
              <w:right w:val="single" w:color="auto" w:sz="8" w:space="0"/>
            </w:tcBorders>
          </w:tcPr>
          <w:p>
            <w:pPr>
              <w:widowControl/>
              <w:spacing w:line="480" w:lineRule="exact"/>
              <w:jc w:val="left"/>
              <w:rPr>
                <w:rFonts w:ascii="宋体" w:hAnsi="宋体" w:cs="宋体"/>
                <w:kern w:val="0"/>
                <w:sz w:val="24"/>
                <w:szCs w:val="24"/>
              </w:rPr>
            </w:pPr>
            <w:r>
              <w:rPr>
                <w:rFonts w:hint="eastAsia" w:ascii="宋体" w:hAnsi="宋体" w:cs="宋体"/>
                <w:kern w:val="0"/>
                <w:sz w:val="20"/>
                <w:szCs w:val="20"/>
              </w:rPr>
              <w:t>8.属于行政查询事项</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r>
              <w:rPr>
                <w:kern w:val="0"/>
                <w:sz w:val="20"/>
                <w:szCs w:val="20"/>
              </w:rPr>
              <w:t> </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r>
              <w:rPr>
                <w:kern w:val="0"/>
                <w:sz w:val="20"/>
                <w:szCs w:val="20"/>
              </w:rPr>
              <w:t> </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rPr>
              <w:t>0</w:t>
            </w:r>
            <w:r>
              <w:rPr>
                <w:kern w:val="0"/>
                <w:sz w:val="20"/>
                <w:szCs w:val="20"/>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restart"/>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（四）无法提供</w:t>
            </w:r>
          </w:p>
        </w:tc>
        <w:tc>
          <w:tcPr>
            <w:tcW w:w="3257" w:type="dxa"/>
            <w:tcBorders>
              <w:top w:val="nil"/>
              <w:left w:val="nil"/>
              <w:bottom w:val="single" w:color="auto" w:sz="8" w:space="0"/>
              <w:right w:val="single" w:color="auto" w:sz="8" w:space="0"/>
            </w:tcBorders>
          </w:tcPr>
          <w:p>
            <w:pPr>
              <w:widowControl/>
              <w:spacing w:line="480" w:lineRule="exact"/>
              <w:jc w:val="left"/>
              <w:rPr>
                <w:rFonts w:ascii="宋体" w:hAnsi="宋体" w:cs="宋体"/>
                <w:kern w:val="0"/>
                <w:sz w:val="24"/>
                <w:szCs w:val="24"/>
              </w:rPr>
            </w:pPr>
            <w:r>
              <w:rPr>
                <w:rFonts w:hint="eastAsia" w:ascii="宋体" w:hAnsi="宋体" w:cs="宋体"/>
                <w:kern w:val="0"/>
                <w:sz w:val="20"/>
                <w:szCs w:val="20"/>
              </w:rPr>
              <w:t>1.本机关不掌握相关政府信息</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rPr>
              <w:t>1</w:t>
            </w:r>
            <w:r>
              <w:rPr>
                <w:kern w:val="0"/>
                <w:sz w:val="20"/>
                <w:szCs w:val="20"/>
              </w:rPr>
              <w:t> </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rPr>
              <w:t>0</w:t>
            </w:r>
            <w:r>
              <w:rPr>
                <w:kern w:val="0"/>
                <w:sz w:val="20"/>
                <w:szCs w:val="20"/>
              </w:rPr>
              <w:t> </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continue"/>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3257" w:type="dxa"/>
            <w:tcBorders>
              <w:top w:val="nil"/>
              <w:left w:val="nil"/>
              <w:bottom w:val="single" w:color="auto" w:sz="8" w:space="0"/>
              <w:right w:val="single" w:color="auto" w:sz="8" w:space="0"/>
            </w:tcBorders>
          </w:tcPr>
          <w:p>
            <w:pPr>
              <w:widowControl/>
              <w:spacing w:line="480" w:lineRule="exact"/>
              <w:jc w:val="left"/>
              <w:rPr>
                <w:rFonts w:ascii="宋体" w:hAnsi="宋体" w:cs="宋体"/>
                <w:kern w:val="0"/>
                <w:sz w:val="24"/>
                <w:szCs w:val="24"/>
              </w:rPr>
            </w:pPr>
            <w:r>
              <w:rPr>
                <w:rFonts w:hint="eastAsia" w:ascii="宋体" w:hAnsi="宋体" w:cs="宋体"/>
                <w:kern w:val="0"/>
                <w:sz w:val="20"/>
                <w:szCs w:val="20"/>
              </w:rPr>
              <w:t>2.没有现成信息需要另行制作</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r>
              <w:rPr>
                <w:kern w:val="0"/>
                <w:sz w:val="20"/>
                <w:szCs w:val="20"/>
              </w:rPr>
              <w:t> </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r>
              <w:rPr>
                <w:kern w:val="0"/>
                <w:sz w:val="20"/>
                <w:szCs w:val="20"/>
              </w:rPr>
              <w:t> </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rPr>
              <w:t>0</w:t>
            </w:r>
            <w:r>
              <w:rPr>
                <w:kern w:val="0"/>
                <w:sz w:val="20"/>
                <w:szCs w:val="20"/>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continue"/>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3257" w:type="dxa"/>
            <w:tcBorders>
              <w:top w:val="nil"/>
              <w:left w:val="nil"/>
              <w:bottom w:val="single" w:color="auto" w:sz="8" w:space="0"/>
              <w:right w:val="single" w:color="auto" w:sz="8" w:space="0"/>
            </w:tcBorders>
          </w:tcPr>
          <w:p>
            <w:pPr>
              <w:widowControl/>
              <w:spacing w:line="480" w:lineRule="exact"/>
              <w:jc w:val="left"/>
              <w:rPr>
                <w:rFonts w:ascii="宋体" w:hAnsi="宋体" w:cs="宋体"/>
                <w:kern w:val="0"/>
                <w:sz w:val="24"/>
                <w:szCs w:val="24"/>
              </w:rPr>
            </w:pPr>
            <w:r>
              <w:rPr>
                <w:rFonts w:hint="eastAsia" w:ascii="宋体" w:hAnsi="宋体" w:cs="宋体"/>
                <w:kern w:val="0"/>
                <w:sz w:val="20"/>
                <w:szCs w:val="20"/>
              </w:rPr>
              <w:t>3.补正后申请内容仍不明确</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r>
              <w:rPr>
                <w:kern w:val="0"/>
                <w:sz w:val="20"/>
                <w:szCs w:val="20"/>
              </w:rPr>
              <w:t> </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r>
              <w:rPr>
                <w:kern w:val="0"/>
                <w:sz w:val="20"/>
                <w:szCs w:val="20"/>
              </w:rPr>
              <w:t> </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rPr>
              <w:t>0</w:t>
            </w:r>
            <w:r>
              <w:rPr>
                <w:kern w:val="0"/>
                <w:sz w:val="20"/>
                <w:szCs w:val="20"/>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restart"/>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（五）不予处理</w:t>
            </w:r>
          </w:p>
        </w:tc>
        <w:tc>
          <w:tcPr>
            <w:tcW w:w="3257" w:type="dxa"/>
            <w:tcBorders>
              <w:top w:val="nil"/>
              <w:left w:val="nil"/>
              <w:bottom w:val="single" w:color="auto" w:sz="8" w:space="0"/>
              <w:right w:val="single" w:color="auto" w:sz="8" w:space="0"/>
            </w:tcBorders>
          </w:tcPr>
          <w:p>
            <w:pPr>
              <w:widowControl/>
              <w:spacing w:line="480" w:lineRule="exact"/>
              <w:jc w:val="left"/>
              <w:rPr>
                <w:rFonts w:ascii="宋体" w:hAnsi="宋体" w:cs="宋体"/>
                <w:kern w:val="0"/>
                <w:sz w:val="24"/>
                <w:szCs w:val="24"/>
              </w:rPr>
            </w:pPr>
            <w:r>
              <w:rPr>
                <w:rFonts w:hint="eastAsia" w:ascii="宋体" w:hAnsi="宋体" w:cs="宋体"/>
                <w:kern w:val="0"/>
                <w:sz w:val="20"/>
                <w:szCs w:val="20"/>
              </w:rPr>
              <w:t>1.信访举报投诉类申请</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r>
              <w:rPr>
                <w:kern w:val="0"/>
                <w:sz w:val="20"/>
                <w:szCs w:val="20"/>
              </w:rPr>
              <w:t> </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r>
              <w:rPr>
                <w:kern w:val="0"/>
                <w:sz w:val="20"/>
                <w:szCs w:val="20"/>
              </w:rPr>
              <w:t> </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rPr>
              <w:t>0</w:t>
            </w:r>
            <w:r>
              <w:rPr>
                <w:kern w:val="0"/>
                <w:sz w:val="20"/>
                <w:szCs w:val="20"/>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continue"/>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3257" w:type="dxa"/>
            <w:tcBorders>
              <w:top w:val="single" w:color="auto" w:sz="8" w:space="0"/>
              <w:left w:val="nil"/>
              <w:bottom w:val="single" w:color="auto" w:sz="8" w:space="0"/>
              <w:right w:val="single" w:color="auto" w:sz="8" w:space="0"/>
            </w:tcBorders>
          </w:tcPr>
          <w:p>
            <w:pPr>
              <w:widowControl/>
              <w:spacing w:line="480" w:lineRule="exact"/>
              <w:jc w:val="left"/>
              <w:rPr>
                <w:rFonts w:ascii="宋体" w:hAnsi="宋体" w:cs="宋体"/>
                <w:kern w:val="0"/>
                <w:sz w:val="24"/>
                <w:szCs w:val="24"/>
              </w:rPr>
            </w:pPr>
            <w:r>
              <w:rPr>
                <w:rFonts w:hint="eastAsia" w:ascii="宋体" w:hAnsi="宋体" w:cs="宋体"/>
                <w:kern w:val="0"/>
                <w:sz w:val="20"/>
                <w:szCs w:val="20"/>
              </w:rPr>
              <w:t>2.重复申请</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r>
              <w:rPr>
                <w:kern w:val="0"/>
                <w:sz w:val="20"/>
                <w:szCs w:val="20"/>
              </w:rPr>
              <w:t> </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r>
              <w:rPr>
                <w:kern w:val="0"/>
                <w:sz w:val="20"/>
                <w:szCs w:val="20"/>
              </w:rPr>
              <w:t> </w:t>
            </w:r>
          </w:p>
        </w:tc>
        <w:tc>
          <w:tcPr>
            <w:tcW w:w="688" w:type="dxa"/>
            <w:tcBorders>
              <w:top w:val="single" w:color="auto" w:sz="8" w:space="0"/>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rPr>
              <w:t>0</w:t>
            </w:r>
            <w:r>
              <w:rPr>
                <w:kern w:val="0"/>
                <w:sz w:val="20"/>
                <w:szCs w:val="20"/>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continue"/>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3257" w:type="dxa"/>
            <w:tcBorders>
              <w:top w:val="single" w:color="auto" w:sz="8" w:space="0"/>
              <w:left w:val="nil"/>
              <w:bottom w:val="single" w:color="auto" w:sz="8" w:space="0"/>
              <w:right w:val="single" w:color="auto" w:sz="8" w:space="0"/>
            </w:tcBorders>
          </w:tcPr>
          <w:p>
            <w:pPr>
              <w:widowControl/>
              <w:spacing w:line="480" w:lineRule="exact"/>
              <w:jc w:val="left"/>
              <w:rPr>
                <w:rFonts w:ascii="宋体" w:hAnsi="宋体" w:cs="宋体"/>
                <w:kern w:val="0"/>
                <w:sz w:val="24"/>
                <w:szCs w:val="24"/>
              </w:rPr>
            </w:pPr>
            <w:r>
              <w:rPr>
                <w:rFonts w:hint="eastAsia" w:ascii="宋体" w:hAnsi="宋体" w:cs="宋体"/>
                <w:kern w:val="0"/>
                <w:sz w:val="20"/>
                <w:szCs w:val="20"/>
              </w:rPr>
              <w:t>3.要求提供公开出版物</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r>
              <w:rPr>
                <w:kern w:val="0"/>
                <w:sz w:val="20"/>
                <w:szCs w:val="20"/>
              </w:rPr>
              <w:t> </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r>
              <w:rPr>
                <w:kern w:val="0"/>
                <w:sz w:val="20"/>
                <w:szCs w:val="20"/>
              </w:rPr>
              <w:t> </w:t>
            </w:r>
          </w:p>
        </w:tc>
        <w:tc>
          <w:tcPr>
            <w:tcW w:w="688" w:type="dxa"/>
            <w:tcBorders>
              <w:top w:val="single" w:color="auto" w:sz="8" w:space="0"/>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rPr>
              <w:t>0</w:t>
            </w:r>
            <w:r>
              <w:rPr>
                <w:kern w:val="0"/>
                <w:sz w:val="20"/>
                <w:szCs w:val="20"/>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continue"/>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3257" w:type="dxa"/>
            <w:tcBorders>
              <w:top w:val="single" w:color="auto" w:sz="8" w:space="0"/>
              <w:left w:val="nil"/>
              <w:bottom w:val="single" w:color="auto" w:sz="8" w:space="0"/>
              <w:right w:val="single" w:color="auto" w:sz="8" w:space="0"/>
            </w:tcBorders>
          </w:tcPr>
          <w:p>
            <w:pPr>
              <w:widowControl/>
              <w:spacing w:line="480" w:lineRule="exact"/>
              <w:jc w:val="left"/>
              <w:rPr>
                <w:rFonts w:ascii="宋体" w:hAnsi="宋体" w:cs="宋体"/>
                <w:kern w:val="0"/>
                <w:sz w:val="24"/>
                <w:szCs w:val="24"/>
              </w:rPr>
            </w:pPr>
            <w:r>
              <w:rPr>
                <w:rFonts w:hint="eastAsia" w:ascii="宋体" w:hAnsi="宋体" w:cs="宋体"/>
                <w:kern w:val="0"/>
                <w:sz w:val="20"/>
                <w:szCs w:val="20"/>
              </w:rPr>
              <w:t>4.无正当理由大量反复申请</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r>
              <w:rPr>
                <w:kern w:val="0"/>
                <w:sz w:val="20"/>
                <w:szCs w:val="20"/>
              </w:rPr>
              <w:t> </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r>
              <w:rPr>
                <w:kern w:val="0"/>
                <w:sz w:val="20"/>
                <w:szCs w:val="20"/>
              </w:rPr>
              <w:t> </w:t>
            </w:r>
          </w:p>
        </w:tc>
        <w:tc>
          <w:tcPr>
            <w:tcW w:w="688" w:type="dxa"/>
            <w:tcBorders>
              <w:top w:val="single" w:color="auto" w:sz="8" w:space="0"/>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rPr>
              <w:t>0</w:t>
            </w:r>
            <w:r>
              <w:rPr>
                <w:kern w:val="0"/>
                <w:sz w:val="20"/>
                <w:szCs w:val="20"/>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trHeight w:val="779" w:hRule="atLeast"/>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continue"/>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3257" w:type="dxa"/>
            <w:tcBorders>
              <w:top w:val="nil"/>
              <w:left w:val="nil"/>
              <w:bottom w:val="inset" w:color="auto" w:sz="6" w:space="0"/>
              <w:right w:val="single" w:color="auto" w:sz="8" w:space="0"/>
            </w:tcBorders>
            <w:vAlign w:val="center"/>
          </w:tcPr>
          <w:p>
            <w:pPr>
              <w:widowControl/>
              <w:spacing w:line="480" w:lineRule="exact"/>
              <w:rPr>
                <w:rFonts w:ascii="宋体" w:hAnsi="宋体" w:cs="宋体"/>
                <w:kern w:val="0"/>
                <w:sz w:val="24"/>
                <w:szCs w:val="24"/>
              </w:rPr>
            </w:pPr>
            <w:r>
              <w:rPr>
                <w:rFonts w:hint="eastAsia" w:ascii="宋体" w:hAnsi="宋体" w:cs="宋体"/>
                <w:kern w:val="0"/>
                <w:sz w:val="20"/>
                <w:szCs w:val="20"/>
              </w:rPr>
              <w:t>5.要求行政机关确认或重新出具已获取信息</w:t>
            </w:r>
          </w:p>
        </w:tc>
        <w:tc>
          <w:tcPr>
            <w:tcW w:w="688" w:type="dxa"/>
            <w:tcBorders>
              <w:top w:val="nil"/>
              <w:left w:val="nil"/>
              <w:bottom w:val="inset" w:color="auto" w:sz="6"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inset" w:color="auto" w:sz="6"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inset" w:color="auto" w:sz="6"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inset" w:color="auto" w:sz="6"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r>
              <w:rPr>
                <w:kern w:val="0"/>
                <w:sz w:val="20"/>
                <w:szCs w:val="20"/>
              </w:rPr>
              <w:t> </w:t>
            </w:r>
          </w:p>
        </w:tc>
        <w:tc>
          <w:tcPr>
            <w:tcW w:w="688" w:type="dxa"/>
            <w:tcBorders>
              <w:top w:val="nil"/>
              <w:left w:val="nil"/>
              <w:bottom w:val="inset" w:color="auto" w:sz="6"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inset" w:color="auto" w:sz="6"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r>
              <w:rPr>
                <w:kern w:val="0"/>
                <w:sz w:val="20"/>
                <w:szCs w:val="20"/>
              </w:rPr>
              <w:t> </w:t>
            </w:r>
          </w:p>
        </w:tc>
        <w:tc>
          <w:tcPr>
            <w:tcW w:w="688" w:type="dxa"/>
            <w:tcBorders>
              <w:top w:val="nil"/>
              <w:left w:val="nil"/>
              <w:bottom w:val="inset" w:color="auto" w:sz="6"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rPr>
              <w:t>0</w:t>
            </w:r>
            <w:r>
              <w:rPr>
                <w:kern w:val="0"/>
                <w:sz w:val="20"/>
                <w:szCs w:val="20"/>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restart"/>
            <w:tcBorders>
              <w:top w:val="inset" w:color="auto" w:sz="6" w:space="0"/>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（六）其他处理</w:t>
            </w:r>
          </w:p>
        </w:tc>
        <w:tc>
          <w:tcPr>
            <w:tcW w:w="3257" w:type="dxa"/>
            <w:tcBorders>
              <w:top w:val="nil"/>
              <w:left w:val="nil"/>
              <w:bottom w:val="single" w:color="auto" w:sz="8" w:space="0"/>
              <w:right w:val="single" w:color="auto" w:sz="8" w:space="0"/>
            </w:tcBorders>
            <w:vAlign w:val="center"/>
          </w:tcPr>
          <w:p>
            <w:pPr>
              <w:widowControl/>
              <w:spacing w:line="480" w:lineRule="exact"/>
              <w:rPr>
                <w:rFonts w:ascii="宋体" w:hAnsi="宋体" w:cs="宋体"/>
                <w:kern w:val="0"/>
                <w:sz w:val="24"/>
                <w:szCs w:val="24"/>
              </w:rPr>
            </w:pPr>
            <w:r>
              <w:rPr>
                <w:rFonts w:hint="eastAsia" w:ascii="宋体" w:hAnsi="宋体" w:cs="宋体"/>
                <w:kern w:val="0"/>
                <w:sz w:val="20"/>
                <w:szCs w:val="20"/>
              </w:rPr>
              <w:t>1.申请人无正当理由逾期不补正、行政机关不再处理其政府信息公开申请</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r>
              <w:rPr>
                <w:kern w:val="0"/>
                <w:sz w:val="20"/>
                <w:szCs w:val="20"/>
              </w:rPr>
              <w:t> </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r>
              <w:rPr>
                <w:kern w:val="0"/>
                <w:sz w:val="20"/>
                <w:szCs w:val="20"/>
              </w:rPr>
              <w:t> </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rPr>
              <w:t>0</w:t>
            </w:r>
            <w:r>
              <w:rPr>
                <w:kern w:val="0"/>
                <w:sz w:val="20"/>
                <w:szCs w:val="20"/>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continue"/>
            <w:tcBorders>
              <w:top w:val="inset" w:color="auto" w:sz="6" w:space="0"/>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3257" w:type="dxa"/>
            <w:tcBorders>
              <w:top w:val="nil"/>
              <w:left w:val="nil"/>
              <w:bottom w:val="single" w:color="auto" w:sz="8" w:space="0"/>
              <w:right w:val="single" w:color="auto" w:sz="8" w:space="0"/>
            </w:tcBorders>
            <w:vAlign w:val="center"/>
          </w:tcPr>
          <w:p>
            <w:pPr>
              <w:widowControl/>
              <w:spacing w:line="480" w:lineRule="exact"/>
              <w:rPr>
                <w:rFonts w:ascii="宋体" w:hAnsi="宋体" w:cs="宋体"/>
                <w:kern w:val="0"/>
                <w:sz w:val="24"/>
                <w:szCs w:val="24"/>
              </w:rPr>
            </w:pPr>
            <w:r>
              <w:rPr>
                <w:rFonts w:hint="eastAsia" w:ascii="宋体" w:hAnsi="宋体" w:cs="宋体"/>
                <w:kern w:val="0"/>
                <w:sz w:val="20"/>
                <w:szCs w:val="20"/>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r>
              <w:rPr>
                <w:kern w:val="0"/>
                <w:sz w:val="20"/>
                <w:szCs w:val="20"/>
              </w:rPr>
              <w:t> </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r>
              <w:rPr>
                <w:kern w:val="0"/>
                <w:sz w:val="20"/>
                <w:szCs w:val="20"/>
              </w:rPr>
              <w:t> </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rPr>
              <w:t>0</w:t>
            </w:r>
            <w:r>
              <w:rPr>
                <w:kern w:val="0"/>
                <w:sz w:val="20"/>
                <w:szCs w:val="20"/>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continue"/>
            <w:tcBorders>
              <w:top w:val="inset" w:color="auto" w:sz="6" w:space="0"/>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3257" w:type="dxa"/>
            <w:tcBorders>
              <w:top w:val="nil"/>
              <w:left w:val="nil"/>
              <w:bottom w:val="single" w:color="auto" w:sz="8" w:space="0"/>
              <w:right w:val="single" w:color="auto" w:sz="8" w:space="0"/>
            </w:tcBorders>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3.其他</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r>
              <w:rPr>
                <w:kern w:val="0"/>
                <w:sz w:val="20"/>
                <w:szCs w:val="20"/>
              </w:rPr>
              <w:t> </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r>
              <w:rPr>
                <w:kern w:val="0"/>
                <w:sz w:val="20"/>
                <w:szCs w:val="20"/>
              </w:rPr>
              <w:t> </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rFonts w:hint="eastAsia"/>
                <w:kern w:val="0"/>
                <w:sz w:val="20"/>
                <w:szCs w:val="20"/>
              </w:rPr>
              <w:t>0</w:t>
            </w:r>
            <w:r>
              <w:rPr>
                <w:kern w:val="0"/>
                <w:sz w:val="20"/>
                <w:szCs w:val="20"/>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4178" w:type="dxa"/>
            <w:gridSpan w:val="2"/>
            <w:tcBorders>
              <w:top w:val="nil"/>
              <w:left w:val="nil"/>
              <w:bottom w:val="single" w:color="auto" w:sz="8" w:space="0"/>
              <w:right w:val="single" w:color="auto" w:sz="8" w:space="0"/>
            </w:tcBorders>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（七）总计</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19</w:t>
            </w:r>
            <w:r>
              <w:rPr>
                <w:kern w:val="0"/>
                <w:sz w:val="20"/>
                <w:szCs w:val="20"/>
              </w:rPr>
              <w:t> </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1</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r>
              <w:rPr>
                <w:kern w:val="0"/>
                <w:sz w:val="20"/>
                <w:szCs w:val="20"/>
              </w:rPr>
              <w:t> </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r>
              <w:rPr>
                <w:kern w:val="0"/>
                <w:sz w:val="20"/>
                <w:szCs w:val="20"/>
              </w:rPr>
              <w:t> </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20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4932" w:type="dxa"/>
            <w:gridSpan w:val="3"/>
            <w:tcBorders>
              <w:top w:val="nil"/>
              <w:left w:val="single" w:color="auto" w:sz="8" w:space="0"/>
              <w:bottom w:val="single" w:color="auto" w:sz="8" w:space="0"/>
              <w:right w:val="single" w:color="auto" w:sz="8" w:space="0"/>
            </w:tcBorders>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四、结转下年度继续办理</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1</w:t>
            </w:r>
            <w:r>
              <w:rPr>
                <w:kern w:val="0"/>
                <w:sz w:val="20"/>
                <w:szCs w:val="20"/>
              </w:rPr>
              <w:t> </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r>
              <w:rPr>
                <w:kern w:val="0"/>
                <w:sz w:val="20"/>
                <w:szCs w:val="20"/>
              </w:rPr>
              <w:t> </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rPr>
              <w:t>0</w:t>
            </w:r>
            <w:r>
              <w:rPr>
                <w:kern w:val="0"/>
                <w:sz w:val="20"/>
                <w:szCs w:val="20"/>
              </w:rPr>
              <w:t> </w:t>
            </w:r>
          </w:p>
        </w:tc>
        <w:tc>
          <w:tcPr>
            <w:tcW w:w="688" w:type="dxa"/>
            <w:tcBorders>
              <w:top w:val="nil"/>
              <w:left w:val="nil"/>
              <w:bottom w:val="single" w:color="auto" w:sz="8" w:space="0"/>
              <w:right w:val="single" w:color="auto" w:sz="8" w:space="0"/>
            </w:tcBorders>
          </w:tcPr>
          <w:p>
            <w:pPr>
              <w:widowControl/>
              <w:spacing w:line="480" w:lineRule="exact"/>
              <w:jc w:val="center"/>
              <w:rPr>
                <w:rFonts w:ascii="宋体" w:hAnsi="宋体" w:cs="宋体"/>
                <w:kern w:val="0"/>
              </w:rPr>
            </w:pPr>
            <w:r>
              <w:rPr>
                <w:rFonts w:hint="eastAsia" w:ascii="宋体" w:hAnsi="宋体" w:cs="宋体"/>
                <w:kern w:val="0"/>
              </w:rPr>
              <w:t>1</w:t>
            </w:r>
          </w:p>
        </w:tc>
      </w:tr>
    </w:tbl>
    <w:p>
      <w:pPr>
        <w:widowControl/>
        <w:spacing w:line="432" w:lineRule="auto"/>
        <w:rPr>
          <w:rFonts w:ascii="宋体" w:hAnsi="宋体" w:cs="宋体"/>
          <w:kern w:val="0"/>
          <w:sz w:val="24"/>
          <w:szCs w:val="24"/>
        </w:rPr>
      </w:pPr>
    </w:p>
    <w:p>
      <w:pPr>
        <w:widowControl/>
        <w:shd w:val="clear" w:color="auto" w:fill="FFFFFF"/>
        <w:rPr>
          <w:rFonts w:ascii="仿宋_GB2312" w:hAnsi="宋体" w:eastAsia="仿宋_GB2312" w:cs="宋体"/>
          <w:b/>
          <w:bCs/>
          <w:kern w:val="0"/>
          <w:sz w:val="32"/>
          <w:szCs w:val="32"/>
        </w:rPr>
      </w:pPr>
      <w:r>
        <w:rPr>
          <w:rFonts w:hint="eastAsia" w:ascii="仿宋_GB2312" w:hAnsi="宋体" w:eastAsia="仿宋_GB2312" w:cs="宋体"/>
          <w:b/>
          <w:bCs/>
          <w:kern w:val="0"/>
          <w:sz w:val="32"/>
          <w:szCs w:val="32"/>
        </w:rPr>
        <w:t>四、政府信息公开行政复议、行政诉讼情况</w:t>
      </w:r>
    </w:p>
    <w:p>
      <w:pPr>
        <w:widowControl/>
        <w:spacing w:line="432" w:lineRule="auto"/>
        <w:jc w:val="center"/>
        <w:rPr>
          <w:rFonts w:ascii="宋体" w:hAnsi="宋体" w:cs="宋体"/>
          <w:kern w:val="0"/>
          <w:sz w:val="24"/>
          <w:szCs w:val="24"/>
        </w:rPr>
      </w:pPr>
    </w:p>
    <w:tbl>
      <w:tblPr>
        <w:tblStyle w:val="7"/>
        <w:tblW w:w="97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650"/>
        <w:gridCol w:w="650"/>
        <w:gridCol w:w="650"/>
        <w:gridCol w:w="650"/>
        <w:gridCol w:w="649"/>
        <w:gridCol w:w="649"/>
        <w:gridCol w:w="650"/>
        <w:gridCol w:w="650"/>
        <w:gridCol w:w="650"/>
        <w:gridCol w:w="650"/>
        <w:gridCol w:w="650"/>
        <w:gridCol w:w="650"/>
        <w:gridCol w:w="650"/>
        <w:gridCol w:w="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50" w:type="dxa"/>
            <w:gridSpan w:val="5"/>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行政复议</w:t>
            </w:r>
          </w:p>
        </w:tc>
        <w:tc>
          <w:tcPr>
            <w:tcW w:w="6498"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0" w:type="dxa"/>
            <w:vMerge w:val="restart"/>
            <w:tcBorders>
              <w:top w:val="nil"/>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结果维持</w:t>
            </w:r>
          </w:p>
        </w:tc>
        <w:tc>
          <w:tcPr>
            <w:tcW w:w="650" w:type="dxa"/>
            <w:vMerge w:val="restart"/>
            <w:tcBorders>
              <w:top w:val="nil"/>
              <w:left w:val="single" w:color="auto" w:sz="4" w:space="0"/>
              <w:bottom w:val="single" w:color="auto" w:sz="4" w:space="0"/>
              <w:right w:val="single" w:color="auto" w:sz="4" w:space="0"/>
            </w:tcBorders>
            <w:vAlign w:val="center"/>
          </w:tcPr>
          <w:p>
            <w:pPr>
              <w:widowControl/>
              <w:spacing w:line="480" w:lineRule="exact"/>
              <w:jc w:val="center"/>
              <w:rPr>
                <w:rFonts w:hint="eastAsia" w:ascii="宋体" w:hAnsi="宋体" w:cs="宋体" w:eastAsiaTheme="minorEastAsia"/>
                <w:kern w:val="0"/>
                <w:sz w:val="20"/>
                <w:szCs w:val="20"/>
                <w:lang w:eastAsia="zh-CN"/>
              </w:rPr>
            </w:pPr>
            <w:r>
              <w:rPr>
                <w:rFonts w:hint="eastAsia" w:ascii="宋体" w:hAnsi="宋体" w:cs="宋体"/>
                <w:kern w:val="0"/>
                <w:sz w:val="20"/>
                <w:szCs w:val="20"/>
              </w:rPr>
              <w:t>结果</w:t>
            </w:r>
          </w:p>
          <w:p>
            <w:pPr>
              <w:widowControl/>
              <w:spacing w:line="480" w:lineRule="exact"/>
              <w:jc w:val="center"/>
              <w:rPr>
                <w:rFonts w:ascii="宋体" w:hAnsi="宋体" w:cs="宋体"/>
                <w:kern w:val="0"/>
                <w:sz w:val="24"/>
                <w:szCs w:val="24"/>
              </w:rPr>
            </w:pPr>
            <w:r>
              <w:rPr>
                <w:rFonts w:hint="eastAsia" w:ascii="宋体" w:hAnsi="宋体" w:cs="宋体"/>
                <w:kern w:val="0"/>
                <w:sz w:val="20"/>
                <w:szCs w:val="20"/>
              </w:rPr>
              <w:t>纠正</w:t>
            </w:r>
          </w:p>
        </w:tc>
        <w:tc>
          <w:tcPr>
            <w:tcW w:w="65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hint="eastAsia" w:ascii="宋体" w:hAnsi="宋体" w:cs="宋体" w:eastAsiaTheme="minorEastAsia"/>
                <w:kern w:val="0"/>
                <w:sz w:val="20"/>
                <w:szCs w:val="20"/>
                <w:lang w:eastAsia="zh-CN"/>
              </w:rPr>
            </w:pPr>
            <w:r>
              <w:rPr>
                <w:rFonts w:hint="eastAsia" w:ascii="宋体" w:hAnsi="宋体" w:cs="宋体"/>
                <w:kern w:val="0"/>
                <w:sz w:val="20"/>
                <w:szCs w:val="20"/>
              </w:rPr>
              <w:t>其他</w:t>
            </w:r>
          </w:p>
          <w:p>
            <w:pPr>
              <w:widowControl/>
              <w:spacing w:line="480" w:lineRule="exact"/>
              <w:jc w:val="center"/>
              <w:rPr>
                <w:rFonts w:ascii="宋体" w:hAnsi="宋体" w:cs="宋体"/>
                <w:kern w:val="0"/>
                <w:sz w:val="24"/>
                <w:szCs w:val="24"/>
              </w:rPr>
            </w:pPr>
            <w:r>
              <w:rPr>
                <w:rFonts w:hint="eastAsia" w:ascii="宋体" w:hAnsi="宋体" w:cs="宋体"/>
                <w:kern w:val="0"/>
                <w:sz w:val="20"/>
                <w:szCs w:val="20"/>
              </w:rPr>
              <w:t>结果</w:t>
            </w:r>
          </w:p>
        </w:tc>
        <w:tc>
          <w:tcPr>
            <w:tcW w:w="65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hint="eastAsia" w:ascii="宋体" w:hAnsi="宋体" w:cs="宋体" w:eastAsiaTheme="minorEastAsia"/>
                <w:kern w:val="0"/>
                <w:sz w:val="20"/>
                <w:szCs w:val="20"/>
                <w:lang w:eastAsia="zh-CN"/>
              </w:rPr>
            </w:pPr>
            <w:r>
              <w:rPr>
                <w:rFonts w:hint="eastAsia" w:ascii="宋体" w:hAnsi="宋体" w:cs="宋体"/>
                <w:kern w:val="0"/>
                <w:sz w:val="20"/>
                <w:szCs w:val="20"/>
              </w:rPr>
              <w:t>尚未</w:t>
            </w:r>
          </w:p>
          <w:p>
            <w:pPr>
              <w:widowControl/>
              <w:spacing w:line="480" w:lineRule="exact"/>
              <w:jc w:val="center"/>
              <w:rPr>
                <w:rFonts w:ascii="宋体" w:hAnsi="宋体" w:cs="宋体"/>
                <w:kern w:val="0"/>
                <w:sz w:val="24"/>
                <w:szCs w:val="24"/>
              </w:rPr>
            </w:pPr>
            <w:r>
              <w:rPr>
                <w:rFonts w:hint="eastAsia" w:ascii="宋体" w:hAnsi="宋体" w:cs="宋体"/>
                <w:kern w:val="0"/>
                <w:sz w:val="20"/>
                <w:szCs w:val="20"/>
              </w:rPr>
              <w:t>审结</w:t>
            </w:r>
          </w:p>
        </w:tc>
        <w:tc>
          <w:tcPr>
            <w:tcW w:w="65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总计</w:t>
            </w:r>
          </w:p>
        </w:tc>
        <w:tc>
          <w:tcPr>
            <w:tcW w:w="3248" w:type="dxa"/>
            <w:gridSpan w:val="5"/>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未经复议直接起诉</w:t>
            </w:r>
          </w:p>
        </w:tc>
        <w:tc>
          <w:tcPr>
            <w:tcW w:w="3250" w:type="dxa"/>
            <w:gridSpan w:val="5"/>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0" w:type="dxa"/>
            <w:vMerge w:val="continue"/>
            <w:tcBorders>
              <w:top w:val="nil"/>
              <w:left w:val="single" w:color="auto" w:sz="4" w:space="0"/>
              <w:bottom w:val="single" w:color="auto" w:sz="4" w:space="0"/>
              <w:right w:val="single" w:color="auto" w:sz="4" w:space="0"/>
            </w:tcBorders>
            <w:vAlign w:val="center"/>
          </w:tcPr>
          <w:p>
            <w:pPr>
              <w:widowControl/>
              <w:spacing w:line="480" w:lineRule="exact"/>
              <w:jc w:val="left"/>
              <w:rPr>
                <w:rFonts w:ascii="宋体" w:hAnsi="宋体" w:cs="宋体"/>
                <w:kern w:val="0"/>
                <w:sz w:val="24"/>
                <w:szCs w:val="24"/>
              </w:rPr>
            </w:pPr>
          </w:p>
        </w:tc>
        <w:tc>
          <w:tcPr>
            <w:tcW w:w="650" w:type="dxa"/>
            <w:vMerge w:val="continue"/>
            <w:tcBorders>
              <w:top w:val="nil"/>
              <w:left w:val="single" w:color="auto" w:sz="4" w:space="0"/>
              <w:bottom w:val="single" w:color="auto" w:sz="4" w:space="0"/>
              <w:right w:val="single" w:color="auto" w:sz="4" w:space="0"/>
            </w:tcBorders>
            <w:vAlign w:val="center"/>
          </w:tcPr>
          <w:p>
            <w:pPr>
              <w:widowControl/>
              <w:spacing w:line="480" w:lineRule="exact"/>
              <w:jc w:val="left"/>
              <w:rPr>
                <w:rFonts w:ascii="宋体" w:hAnsi="宋体" w:cs="宋体"/>
                <w:kern w:val="0"/>
                <w:sz w:val="24"/>
                <w:szCs w:val="24"/>
              </w:rPr>
            </w:pPr>
          </w:p>
        </w:tc>
        <w:tc>
          <w:tcPr>
            <w:tcW w:w="65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宋体" w:hAnsi="宋体" w:cs="宋体"/>
                <w:kern w:val="0"/>
                <w:sz w:val="24"/>
                <w:szCs w:val="24"/>
              </w:rPr>
            </w:pPr>
          </w:p>
        </w:tc>
        <w:tc>
          <w:tcPr>
            <w:tcW w:w="65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宋体" w:hAnsi="宋体" w:cs="宋体"/>
                <w:kern w:val="0"/>
                <w:sz w:val="24"/>
                <w:szCs w:val="24"/>
              </w:rPr>
            </w:pPr>
          </w:p>
        </w:tc>
        <w:tc>
          <w:tcPr>
            <w:tcW w:w="65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宋体" w:hAnsi="宋体" w:cs="宋体"/>
                <w:kern w:val="0"/>
                <w:sz w:val="24"/>
                <w:szCs w:val="24"/>
              </w:rPr>
            </w:pPr>
          </w:p>
        </w:tc>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hint="eastAsia" w:ascii="宋体" w:hAnsi="宋体" w:cs="宋体" w:eastAsiaTheme="minorEastAsia"/>
                <w:kern w:val="0"/>
                <w:sz w:val="20"/>
                <w:szCs w:val="20"/>
                <w:lang w:eastAsia="zh-CN"/>
              </w:rPr>
            </w:pPr>
            <w:r>
              <w:rPr>
                <w:rFonts w:hint="eastAsia" w:ascii="宋体" w:hAnsi="宋体" w:cs="宋体"/>
                <w:kern w:val="0"/>
                <w:sz w:val="20"/>
                <w:szCs w:val="20"/>
              </w:rPr>
              <w:t>结果</w:t>
            </w:r>
          </w:p>
          <w:p>
            <w:pPr>
              <w:widowControl/>
              <w:spacing w:line="480" w:lineRule="exact"/>
              <w:jc w:val="center"/>
              <w:rPr>
                <w:rFonts w:ascii="宋体" w:hAnsi="宋体" w:cs="宋体"/>
                <w:kern w:val="0"/>
                <w:sz w:val="24"/>
                <w:szCs w:val="24"/>
              </w:rPr>
            </w:pPr>
            <w:r>
              <w:rPr>
                <w:rFonts w:hint="eastAsia" w:ascii="宋体" w:hAnsi="宋体" w:cs="宋体"/>
                <w:kern w:val="0"/>
                <w:sz w:val="20"/>
                <w:szCs w:val="20"/>
              </w:rPr>
              <w:t>维持</w:t>
            </w:r>
          </w:p>
        </w:tc>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hint="eastAsia" w:ascii="宋体" w:hAnsi="宋体" w:cs="宋体" w:eastAsiaTheme="minorEastAsia"/>
                <w:kern w:val="0"/>
                <w:sz w:val="20"/>
                <w:szCs w:val="20"/>
                <w:lang w:eastAsia="zh-CN"/>
              </w:rPr>
            </w:pPr>
            <w:r>
              <w:rPr>
                <w:rFonts w:hint="eastAsia" w:ascii="宋体" w:hAnsi="宋体" w:cs="宋体"/>
                <w:kern w:val="0"/>
                <w:sz w:val="20"/>
                <w:szCs w:val="20"/>
              </w:rPr>
              <w:t>结果</w:t>
            </w:r>
          </w:p>
          <w:p>
            <w:pPr>
              <w:widowControl/>
              <w:spacing w:line="480" w:lineRule="exact"/>
              <w:jc w:val="center"/>
              <w:rPr>
                <w:rFonts w:ascii="宋体" w:hAnsi="宋体" w:cs="宋体"/>
                <w:kern w:val="0"/>
                <w:sz w:val="24"/>
                <w:szCs w:val="24"/>
              </w:rPr>
            </w:pPr>
            <w:r>
              <w:rPr>
                <w:rFonts w:hint="eastAsia" w:ascii="宋体" w:hAnsi="宋体" w:cs="宋体"/>
                <w:kern w:val="0"/>
                <w:sz w:val="20"/>
                <w:szCs w:val="20"/>
              </w:rPr>
              <w:t>纠正</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hint="eastAsia" w:ascii="宋体" w:hAnsi="宋体" w:cs="宋体" w:eastAsiaTheme="minorEastAsia"/>
                <w:kern w:val="0"/>
                <w:sz w:val="20"/>
                <w:szCs w:val="20"/>
                <w:lang w:eastAsia="zh-CN"/>
              </w:rPr>
            </w:pPr>
            <w:r>
              <w:rPr>
                <w:rFonts w:hint="eastAsia" w:ascii="宋体" w:hAnsi="宋体" w:cs="宋体"/>
                <w:kern w:val="0"/>
                <w:sz w:val="20"/>
                <w:szCs w:val="20"/>
              </w:rPr>
              <w:t>其他</w:t>
            </w:r>
          </w:p>
          <w:p>
            <w:pPr>
              <w:widowControl/>
              <w:spacing w:line="480" w:lineRule="exact"/>
              <w:jc w:val="center"/>
              <w:rPr>
                <w:rFonts w:ascii="宋体" w:hAnsi="宋体" w:cs="宋体"/>
                <w:kern w:val="0"/>
                <w:sz w:val="24"/>
                <w:szCs w:val="24"/>
              </w:rPr>
            </w:pPr>
            <w:r>
              <w:rPr>
                <w:rFonts w:hint="eastAsia" w:ascii="宋体" w:hAnsi="宋体" w:cs="宋体"/>
                <w:kern w:val="0"/>
                <w:sz w:val="20"/>
                <w:szCs w:val="20"/>
              </w:rPr>
              <w:t>结果</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hint="eastAsia" w:ascii="宋体" w:hAnsi="宋体" w:cs="宋体" w:eastAsiaTheme="minorEastAsia"/>
                <w:kern w:val="0"/>
                <w:sz w:val="20"/>
                <w:szCs w:val="20"/>
                <w:lang w:eastAsia="zh-CN"/>
              </w:rPr>
            </w:pPr>
            <w:r>
              <w:rPr>
                <w:rFonts w:hint="eastAsia" w:ascii="宋体" w:hAnsi="宋体" w:cs="宋体"/>
                <w:kern w:val="0"/>
                <w:sz w:val="20"/>
                <w:szCs w:val="20"/>
              </w:rPr>
              <w:t>尚未</w:t>
            </w:r>
          </w:p>
          <w:p>
            <w:pPr>
              <w:widowControl/>
              <w:spacing w:line="480" w:lineRule="exact"/>
              <w:jc w:val="center"/>
              <w:rPr>
                <w:rFonts w:ascii="宋体" w:hAnsi="宋体" w:cs="宋体"/>
                <w:kern w:val="0"/>
                <w:sz w:val="24"/>
                <w:szCs w:val="24"/>
              </w:rPr>
            </w:pPr>
            <w:r>
              <w:rPr>
                <w:rFonts w:hint="eastAsia" w:ascii="宋体" w:hAnsi="宋体" w:cs="宋体"/>
                <w:kern w:val="0"/>
                <w:sz w:val="20"/>
                <w:szCs w:val="20"/>
              </w:rPr>
              <w:t>审结</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总计</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hint="eastAsia" w:ascii="宋体" w:hAnsi="宋体" w:cs="宋体" w:eastAsiaTheme="minorEastAsia"/>
                <w:kern w:val="0"/>
                <w:sz w:val="20"/>
                <w:szCs w:val="20"/>
                <w:lang w:eastAsia="zh-CN"/>
              </w:rPr>
            </w:pPr>
            <w:r>
              <w:rPr>
                <w:rFonts w:hint="eastAsia" w:ascii="宋体" w:hAnsi="宋体" w:cs="宋体"/>
                <w:kern w:val="0"/>
                <w:sz w:val="20"/>
                <w:szCs w:val="20"/>
              </w:rPr>
              <w:t>结果</w:t>
            </w:r>
          </w:p>
          <w:p>
            <w:pPr>
              <w:widowControl/>
              <w:spacing w:line="480" w:lineRule="exact"/>
              <w:jc w:val="center"/>
              <w:rPr>
                <w:rFonts w:ascii="宋体" w:hAnsi="宋体" w:cs="宋体"/>
                <w:kern w:val="0"/>
                <w:sz w:val="24"/>
                <w:szCs w:val="24"/>
              </w:rPr>
            </w:pPr>
            <w:r>
              <w:rPr>
                <w:rFonts w:hint="eastAsia" w:ascii="宋体" w:hAnsi="宋体" w:cs="宋体"/>
                <w:kern w:val="0"/>
                <w:sz w:val="20"/>
                <w:szCs w:val="20"/>
              </w:rPr>
              <w:t>维持</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hint="eastAsia" w:ascii="宋体" w:hAnsi="宋体" w:cs="宋体" w:eastAsiaTheme="minorEastAsia"/>
                <w:kern w:val="0"/>
                <w:sz w:val="20"/>
                <w:szCs w:val="20"/>
                <w:lang w:eastAsia="zh-CN"/>
              </w:rPr>
            </w:pPr>
            <w:r>
              <w:rPr>
                <w:rFonts w:hint="eastAsia" w:ascii="宋体" w:hAnsi="宋体" w:cs="宋体"/>
                <w:kern w:val="0"/>
                <w:sz w:val="20"/>
                <w:szCs w:val="20"/>
              </w:rPr>
              <w:t>结果</w:t>
            </w:r>
          </w:p>
          <w:p>
            <w:pPr>
              <w:widowControl/>
              <w:spacing w:line="480" w:lineRule="exact"/>
              <w:jc w:val="center"/>
              <w:rPr>
                <w:rFonts w:ascii="宋体" w:hAnsi="宋体" w:cs="宋体"/>
                <w:kern w:val="0"/>
                <w:sz w:val="24"/>
                <w:szCs w:val="24"/>
              </w:rPr>
            </w:pPr>
            <w:r>
              <w:rPr>
                <w:rFonts w:hint="eastAsia" w:ascii="宋体" w:hAnsi="宋体" w:cs="宋体"/>
                <w:kern w:val="0"/>
                <w:sz w:val="20"/>
                <w:szCs w:val="20"/>
              </w:rPr>
              <w:t>纠正</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hint="eastAsia" w:ascii="宋体" w:hAnsi="宋体" w:cs="宋体" w:eastAsiaTheme="minorEastAsia"/>
                <w:kern w:val="0"/>
                <w:sz w:val="20"/>
                <w:szCs w:val="20"/>
                <w:lang w:eastAsia="zh-CN"/>
              </w:rPr>
            </w:pPr>
            <w:r>
              <w:rPr>
                <w:rFonts w:hint="eastAsia" w:ascii="宋体" w:hAnsi="宋体" w:cs="宋体"/>
                <w:kern w:val="0"/>
                <w:sz w:val="20"/>
                <w:szCs w:val="20"/>
              </w:rPr>
              <w:t>其他</w:t>
            </w:r>
          </w:p>
          <w:p>
            <w:pPr>
              <w:widowControl/>
              <w:spacing w:line="480" w:lineRule="exact"/>
              <w:jc w:val="center"/>
              <w:rPr>
                <w:rFonts w:ascii="宋体" w:hAnsi="宋体" w:cs="宋体"/>
                <w:kern w:val="0"/>
                <w:sz w:val="24"/>
                <w:szCs w:val="24"/>
              </w:rPr>
            </w:pPr>
            <w:r>
              <w:rPr>
                <w:rFonts w:hint="eastAsia" w:ascii="宋体" w:hAnsi="宋体" w:cs="宋体"/>
                <w:kern w:val="0"/>
                <w:sz w:val="20"/>
                <w:szCs w:val="20"/>
              </w:rPr>
              <w:t>结果</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hint="eastAsia" w:ascii="宋体" w:hAnsi="宋体" w:cs="宋体" w:eastAsiaTheme="minorEastAsia"/>
                <w:kern w:val="0"/>
                <w:sz w:val="20"/>
                <w:szCs w:val="20"/>
                <w:lang w:eastAsia="zh-CN"/>
              </w:rPr>
            </w:pPr>
            <w:r>
              <w:rPr>
                <w:rFonts w:hint="eastAsia" w:ascii="宋体" w:hAnsi="宋体" w:cs="宋体"/>
                <w:kern w:val="0"/>
                <w:sz w:val="20"/>
                <w:szCs w:val="20"/>
              </w:rPr>
              <w:t>尚未</w:t>
            </w:r>
          </w:p>
          <w:p>
            <w:pPr>
              <w:widowControl/>
              <w:spacing w:line="480" w:lineRule="exact"/>
              <w:jc w:val="center"/>
              <w:rPr>
                <w:rFonts w:ascii="宋体" w:hAnsi="宋体" w:cs="宋体"/>
                <w:kern w:val="0"/>
                <w:sz w:val="24"/>
                <w:szCs w:val="24"/>
              </w:rPr>
            </w:pPr>
            <w:r>
              <w:rPr>
                <w:rFonts w:hint="eastAsia" w:ascii="宋体" w:hAnsi="宋体" w:cs="宋体"/>
                <w:kern w:val="0"/>
                <w:sz w:val="20"/>
                <w:szCs w:val="20"/>
              </w:rPr>
              <w:t>审结</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sz w:val="20"/>
                <w:szCs w:val="20"/>
              </w:rPr>
              <w:t> 0</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sz w:val="20"/>
                <w:szCs w:val="20"/>
              </w:rPr>
              <w:t>0 </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sz w:val="20"/>
                <w:szCs w:val="20"/>
              </w:rPr>
              <w:t> 0</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sz w:val="20"/>
                <w:szCs w:val="20"/>
              </w:rPr>
              <w:t> 0</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sz w:val="20"/>
                <w:szCs w:val="20"/>
              </w:rPr>
              <w:t>0 </w:t>
            </w:r>
          </w:p>
        </w:tc>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sz w:val="20"/>
                <w:szCs w:val="20"/>
              </w:rPr>
              <w:t> 0</w:t>
            </w:r>
          </w:p>
        </w:tc>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sz w:val="20"/>
                <w:szCs w:val="20"/>
              </w:rPr>
              <w:t> 0</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sz w:val="20"/>
                <w:szCs w:val="20"/>
              </w:rPr>
              <w:t> 0</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sz w:val="20"/>
                <w:szCs w:val="20"/>
              </w:rPr>
              <w:t> 0</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sz w:val="20"/>
                <w:szCs w:val="20"/>
              </w:rPr>
              <w:t>0 </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sz w:val="20"/>
                <w:szCs w:val="20"/>
              </w:rPr>
              <w:t> 0</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sz w:val="20"/>
                <w:szCs w:val="20"/>
              </w:rPr>
              <w:t> 0</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sz w:val="20"/>
                <w:szCs w:val="20"/>
              </w:rPr>
              <w:t>0 </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sz w:val="20"/>
                <w:szCs w:val="20"/>
              </w:rPr>
              <w:t>0 </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宋体" w:hAnsi="宋体" w:cs="宋体"/>
                <w:kern w:val="0"/>
              </w:rPr>
            </w:pPr>
            <w:r>
              <w:rPr>
                <w:rFonts w:hint="eastAsia" w:ascii="宋体" w:hAnsi="宋体" w:cs="宋体"/>
                <w:kern w:val="0"/>
              </w:rPr>
              <w:t>0</w:t>
            </w:r>
          </w:p>
        </w:tc>
      </w:tr>
    </w:tbl>
    <w:p>
      <w:pPr>
        <w:widowControl/>
        <w:shd w:val="clear" w:color="auto" w:fill="FFFFFF"/>
        <w:rPr>
          <w:rFonts w:ascii="仿宋_GB2312" w:hAnsi="宋体" w:eastAsia="仿宋_GB2312" w:cs="宋体"/>
          <w:kern w:val="0"/>
          <w:sz w:val="32"/>
          <w:szCs w:val="32"/>
        </w:rPr>
      </w:pPr>
    </w:p>
    <w:p>
      <w:pPr>
        <w:widowControl/>
        <w:shd w:val="clear" w:color="auto" w:fill="FFFFFF"/>
        <w:ind w:firstLine="643" w:firstLineChars="200"/>
        <w:rPr>
          <w:rFonts w:ascii="仿宋_GB2312" w:hAnsi="宋体" w:eastAsia="仿宋_GB2312" w:cs="宋体"/>
          <w:b/>
          <w:bCs/>
          <w:kern w:val="0"/>
          <w:sz w:val="32"/>
          <w:szCs w:val="32"/>
        </w:rPr>
      </w:pPr>
      <w:r>
        <w:rPr>
          <w:rFonts w:hint="eastAsia" w:ascii="仿宋_GB2312" w:hAnsi="宋体" w:eastAsia="仿宋_GB2312" w:cs="宋体"/>
          <w:b/>
          <w:bCs/>
          <w:kern w:val="0"/>
          <w:sz w:val="32"/>
          <w:szCs w:val="32"/>
        </w:rPr>
        <w:t>五、存在的主要问题及改进情况</w:t>
      </w:r>
    </w:p>
    <w:p>
      <w:pPr>
        <w:widowControl/>
        <w:shd w:val="clear" w:color="auto" w:fill="FFFFFF"/>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（一）存在的主要问题</w:t>
      </w:r>
    </w:p>
    <w:p>
      <w:pPr>
        <w:widowControl/>
        <w:shd w:val="clear" w:color="auto" w:fill="FFFFFF"/>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2021年，我局政府信息公开工作取得了一定的成绩，但对照上级要求，还存在差距。主要表现在一是政府信息公开力度有待进一步加强，更新还不够及时。二是队伍建设有待进一步加强。目前我局未有信息公开的专职工作人员，从事政府信息公开的干部平时还兼职从事其他工作，工作量较大，导致对信息公开相关规定的理解掌握有所欠缺。</w:t>
      </w:r>
    </w:p>
    <w:p>
      <w:pPr>
        <w:widowControl/>
        <w:shd w:val="clear" w:color="auto" w:fill="FFFFFF"/>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（二）改进情况</w:t>
      </w:r>
    </w:p>
    <w:p>
      <w:pPr>
        <w:widowControl/>
        <w:shd w:val="clear" w:color="auto" w:fill="FFFFFF"/>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今后，我局将继续采取有效措施，深入推进政府信息公开工作。</w:t>
      </w:r>
    </w:p>
    <w:p>
      <w:pPr>
        <w:widowControl/>
        <w:shd w:val="clear" w:color="auto" w:fill="FFFFFF"/>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一是补充完善整理原有的政府信息公开目录，及时公开需要公开的信息，确保公开信息的完整性、广泛性。目前政府信息公开后台的目录出现重复、杂乱的情况，已经向区政府办公室政务公开科提了意见，明年将积极配合区里整理完善政府信息公开目录。                  </w:t>
      </w:r>
    </w:p>
    <w:p>
      <w:pPr>
        <w:pStyle w:val="6"/>
        <w:shd w:val="clear" w:color="auto" w:fill="FFFFFF"/>
        <w:spacing w:before="0" w:beforeAutospacing="0" w:after="0" w:afterAutospacing="0" w:line="480" w:lineRule="atLeast"/>
        <w:ind w:firstLine="640" w:firstLineChars="200"/>
        <w:rPr>
          <w:rFonts w:ascii="仿宋_GB2312" w:eastAsia="仿宋_GB2312"/>
          <w:sz w:val="32"/>
          <w:szCs w:val="32"/>
        </w:rPr>
      </w:pPr>
      <w:r>
        <w:rPr>
          <w:rFonts w:hint="eastAsia" w:ascii="仿宋_GB2312" w:eastAsia="仿宋_GB2312"/>
          <w:sz w:val="32"/>
          <w:szCs w:val="32"/>
        </w:rPr>
        <w:t>二是落实信息公开工作责任。从制度上下功夫，强化组织领导，增强责任意识，根据职能进一步理顺信息公开范围、职责，健全政务公开相关制度，不断完善和调整信息公开目录，把政府信息公开报送、公开工作纳入科室考核的重要内容，切实抓紧抓好政府信息报送、公开工作。</w:t>
      </w:r>
    </w:p>
    <w:p>
      <w:pPr>
        <w:pStyle w:val="6"/>
        <w:shd w:val="clear" w:color="auto" w:fill="FFFFFF"/>
        <w:spacing w:before="0" w:beforeAutospacing="0" w:after="0" w:afterAutospacing="0" w:line="480" w:lineRule="atLeast"/>
        <w:ind w:firstLine="640" w:firstLineChars="200"/>
        <w:rPr>
          <w:rFonts w:ascii="仿宋_GB2312" w:eastAsia="仿宋_GB2312"/>
          <w:sz w:val="32"/>
          <w:szCs w:val="32"/>
        </w:rPr>
      </w:pPr>
      <w:r>
        <w:rPr>
          <w:rFonts w:hint="eastAsia" w:ascii="仿宋_GB2312" w:eastAsia="仿宋_GB2312"/>
          <w:sz w:val="32"/>
          <w:szCs w:val="32"/>
        </w:rPr>
        <w:t>三是进一步加强政务公开工作人员队伍建设。加强对政务公开工作人员的教育培训。进一步提高信息公开工作业务水平，积极参加区府办组织的业务培训、积极开展我局政府信息公开工作人员的集中培训，加强全体机关工作人员的信息公开意识和水平。</w:t>
      </w:r>
    </w:p>
    <w:p>
      <w:pPr>
        <w:pStyle w:val="6"/>
        <w:spacing w:before="0" w:beforeAutospacing="0" w:after="0" w:afterAutospacing="0" w:line="420" w:lineRule="atLeast"/>
        <w:ind w:firstLine="643" w:firstLineChars="200"/>
        <w:rPr>
          <w:rFonts w:ascii="仿宋_GB2312" w:eastAsia="仿宋_GB2312"/>
          <w:sz w:val="32"/>
          <w:szCs w:val="32"/>
        </w:rPr>
      </w:pPr>
      <w:r>
        <w:rPr>
          <w:rFonts w:hint="eastAsia" w:ascii="仿宋_GB2312" w:eastAsia="仿宋_GB2312"/>
          <w:b/>
          <w:bCs/>
          <w:sz w:val="32"/>
          <w:szCs w:val="32"/>
        </w:rPr>
        <w:t>六、其他需要报告的事项</w:t>
      </w:r>
    </w:p>
    <w:p>
      <w:pPr>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依据《政府信息公开信息处理费管理办法》收取信息处理费情况，2021年我局未产生相关收费信息。</w:t>
      </w:r>
    </w:p>
    <w:p>
      <w:pPr>
        <w:spacing w:line="360" w:lineRule="auto"/>
        <w:rPr>
          <w:rFonts w:ascii="仿宋_GB2312" w:hAnsi="宋体" w:eastAsia="仿宋_GB2312" w:cs="Times New Roman"/>
          <w:sz w:val="32"/>
          <w:szCs w:val="32"/>
        </w:rPr>
      </w:pPr>
    </w:p>
    <w:p>
      <w:pPr>
        <w:spacing w:line="360" w:lineRule="auto"/>
        <w:jc w:val="right"/>
        <w:rPr>
          <w:rFonts w:ascii="仿宋_GB2312" w:hAnsi="宋体" w:eastAsia="仿宋_GB2312" w:cs="宋体"/>
          <w:kern w:val="0"/>
          <w:sz w:val="32"/>
          <w:szCs w:val="32"/>
        </w:rPr>
      </w:pPr>
      <w:r>
        <w:rPr>
          <w:rFonts w:hint="eastAsia" w:ascii="仿宋_GB2312" w:hAnsi="宋体" w:eastAsia="仿宋_GB2312" w:cs="宋体"/>
          <w:kern w:val="0"/>
          <w:sz w:val="32"/>
          <w:szCs w:val="32"/>
        </w:rPr>
        <w:t>拱墅区市场监督管理局</w:t>
      </w:r>
    </w:p>
    <w:p>
      <w:pPr>
        <w:spacing w:line="360" w:lineRule="auto"/>
        <w:jc w:val="right"/>
        <w:rPr>
          <w:rFonts w:ascii="仿宋_GB2312" w:hAnsi="宋体" w:eastAsia="仿宋_GB2312" w:cs="宋体"/>
          <w:kern w:val="0"/>
          <w:sz w:val="32"/>
          <w:szCs w:val="32"/>
        </w:rPr>
      </w:pPr>
      <w:r>
        <w:rPr>
          <w:rFonts w:hint="eastAsia" w:ascii="仿宋_GB2312" w:hAnsi="宋体" w:eastAsia="仿宋_GB2312" w:cs="宋体"/>
          <w:kern w:val="0"/>
          <w:sz w:val="32"/>
          <w:szCs w:val="32"/>
        </w:rPr>
        <w:t>2021年1月18日</w:t>
      </w:r>
    </w:p>
    <w:p>
      <w:pPr>
        <w:spacing w:line="360" w:lineRule="auto"/>
        <w:rPr>
          <w:rFonts w:ascii="宋体" w:hAnsi="宋体" w:cs="宋体"/>
          <w:kern w:val="0"/>
          <w:sz w:val="24"/>
          <w:szCs w:val="24"/>
        </w:rPr>
      </w:pPr>
    </w:p>
    <w:p>
      <w:pPr>
        <w:rPr>
          <w:rFonts w:ascii="宋体" w:hAnsi="宋体" w:cs="宋体"/>
          <w:b/>
          <w:bCs/>
          <w:kern w:val="0"/>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楷体">
    <w:altName w:val="宋体"/>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sans-serif">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5DC00D"/>
    <w:multiLevelType w:val="singleLevel"/>
    <w:tmpl w:val="BA5DC00D"/>
    <w:lvl w:ilvl="0" w:tentative="0">
      <w:start w:val="1"/>
      <w:numFmt w:val="chineseCounting"/>
      <w:suff w:val="nothing"/>
      <w:lvlText w:val="%1、"/>
      <w:lvlJc w:val="left"/>
      <w:rPr>
        <w:rFonts w:hint="eastAsia"/>
      </w:rPr>
    </w:lvl>
  </w:abstractNum>
  <w:abstractNum w:abstractNumId="1">
    <w:nsid w:val="2824FAB3"/>
    <w:multiLevelType w:val="singleLevel"/>
    <w:tmpl w:val="2824FAB3"/>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YxMTA3ZjFlMjhlZDhhMWNhZjExOTIwMzg0ODg4OTQifQ=="/>
  </w:docVars>
  <w:rsids>
    <w:rsidRoot w:val="009F2FF6"/>
    <w:rsid w:val="000257CF"/>
    <w:rsid w:val="00061DD5"/>
    <w:rsid w:val="00070198"/>
    <w:rsid w:val="00072007"/>
    <w:rsid w:val="0008486E"/>
    <w:rsid w:val="000974CB"/>
    <w:rsid w:val="00102533"/>
    <w:rsid w:val="00127548"/>
    <w:rsid w:val="0015782D"/>
    <w:rsid w:val="001703FC"/>
    <w:rsid w:val="0018398D"/>
    <w:rsid w:val="001A75F1"/>
    <w:rsid w:val="001C28F5"/>
    <w:rsid w:val="001E291D"/>
    <w:rsid w:val="001E3008"/>
    <w:rsid w:val="0022266C"/>
    <w:rsid w:val="00242EE0"/>
    <w:rsid w:val="00292398"/>
    <w:rsid w:val="002934A3"/>
    <w:rsid w:val="00294C6A"/>
    <w:rsid w:val="002D3463"/>
    <w:rsid w:val="002E2595"/>
    <w:rsid w:val="002E7C12"/>
    <w:rsid w:val="00302DA0"/>
    <w:rsid w:val="00377780"/>
    <w:rsid w:val="00395634"/>
    <w:rsid w:val="003C3DBC"/>
    <w:rsid w:val="004069E1"/>
    <w:rsid w:val="0047592B"/>
    <w:rsid w:val="00480BDF"/>
    <w:rsid w:val="004A11C9"/>
    <w:rsid w:val="004A16C1"/>
    <w:rsid w:val="00634A37"/>
    <w:rsid w:val="00667174"/>
    <w:rsid w:val="006678E3"/>
    <w:rsid w:val="00713EC9"/>
    <w:rsid w:val="007256EE"/>
    <w:rsid w:val="00770E6F"/>
    <w:rsid w:val="007748FD"/>
    <w:rsid w:val="00786261"/>
    <w:rsid w:val="007D4637"/>
    <w:rsid w:val="007D52F8"/>
    <w:rsid w:val="007E1CA2"/>
    <w:rsid w:val="00824401"/>
    <w:rsid w:val="00827CF5"/>
    <w:rsid w:val="0084517C"/>
    <w:rsid w:val="00867A61"/>
    <w:rsid w:val="008A03AC"/>
    <w:rsid w:val="008F5D0F"/>
    <w:rsid w:val="00935156"/>
    <w:rsid w:val="00947862"/>
    <w:rsid w:val="00965E68"/>
    <w:rsid w:val="009D507F"/>
    <w:rsid w:val="009E33C7"/>
    <w:rsid w:val="009E7B82"/>
    <w:rsid w:val="009F2FF6"/>
    <w:rsid w:val="009F6A9D"/>
    <w:rsid w:val="00A141E0"/>
    <w:rsid w:val="00A47D01"/>
    <w:rsid w:val="00AD2476"/>
    <w:rsid w:val="00AF2F88"/>
    <w:rsid w:val="00B173B9"/>
    <w:rsid w:val="00B51FD6"/>
    <w:rsid w:val="00BC3646"/>
    <w:rsid w:val="00C07AED"/>
    <w:rsid w:val="00CD7D5C"/>
    <w:rsid w:val="00CF121A"/>
    <w:rsid w:val="00D050BF"/>
    <w:rsid w:val="00D16BA0"/>
    <w:rsid w:val="00D5655D"/>
    <w:rsid w:val="00D63315"/>
    <w:rsid w:val="00DC68F1"/>
    <w:rsid w:val="00E92F8B"/>
    <w:rsid w:val="00F61250"/>
    <w:rsid w:val="00F77177"/>
    <w:rsid w:val="0CDF473F"/>
    <w:rsid w:val="19B128DC"/>
    <w:rsid w:val="1FC508F3"/>
    <w:rsid w:val="2B8E3B9C"/>
    <w:rsid w:val="3C0A4FE4"/>
    <w:rsid w:val="3CE34A80"/>
    <w:rsid w:val="446D4ACA"/>
    <w:rsid w:val="492E0469"/>
    <w:rsid w:val="4FBE172F"/>
    <w:rsid w:val="519C72C2"/>
    <w:rsid w:val="5A5948A7"/>
    <w:rsid w:val="622F156D"/>
    <w:rsid w:val="637D5B81"/>
    <w:rsid w:val="63907038"/>
    <w:rsid w:val="771D5750"/>
    <w:rsid w:val="77C05D7F"/>
    <w:rsid w:val="77F209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autoRedefine/>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3"/>
    <w:semiHidden/>
    <w:unhideWhenUsed/>
    <w:qFormat/>
    <w:uiPriority w:val="99"/>
    <w:pPr>
      <w:ind w:left="100" w:leftChars="2500"/>
    </w:pPr>
  </w:style>
  <w:style w:type="paragraph" w:styleId="3">
    <w:name w:val="Balloon Text"/>
    <w:basedOn w:val="1"/>
    <w:link w:val="14"/>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9">
    <w:name w:val="Strong"/>
    <w:basedOn w:val="8"/>
    <w:qFormat/>
    <w:uiPriority w:val="0"/>
    <w:rPr>
      <w:b/>
    </w:rPr>
  </w:style>
  <w:style w:type="character" w:customStyle="1" w:styleId="10">
    <w:name w:val="hl"/>
    <w:basedOn w:val="8"/>
    <w:qFormat/>
    <w:uiPriority w:val="0"/>
  </w:style>
  <w:style w:type="character" w:customStyle="1" w:styleId="11">
    <w:name w:val="页眉 字符"/>
    <w:basedOn w:val="8"/>
    <w:link w:val="5"/>
    <w:qFormat/>
    <w:uiPriority w:val="99"/>
    <w:rPr>
      <w:sz w:val="18"/>
      <w:szCs w:val="18"/>
    </w:rPr>
  </w:style>
  <w:style w:type="character" w:customStyle="1" w:styleId="12">
    <w:name w:val="页脚 字符"/>
    <w:basedOn w:val="8"/>
    <w:link w:val="4"/>
    <w:qFormat/>
    <w:uiPriority w:val="99"/>
    <w:rPr>
      <w:sz w:val="18"/>
      <w:szCs w:val="18"/>
    </w:rPr>
  </w:style>
  <w:style w:type="character" w:customStyle="1" w:styleId="13">
    <w:name w:val="日期 字符"/>
    <w:basedOn w:val="8"/>
    <w:link w:val="2"/>
    <w:semiHidden/>
    <w:qFormat/>
    <w:uiPriority w:val="99"/>
  </w:style>
  <w:style w:type="character" w:customStyle="1" w:styleId="14">
    <w:name w:val="批注框文本 字符"/>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7</Pages>
  <Words>523</Words>
  <Characters>2985</Characters>
  <Lines>24</Lines>
  <Paragraphs>7</Paragraphs>
  <TotalTime>3</TotalTime>
  <ScaleCrop>false</ScaleCrop>
  <LinksUpToDate>false</LinksUpToDate>
  <CharactersWithSpaces>3501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2021-01-20T08:43:00Z</dcterms:created>
  <dc:creator>User</dc:creator>
  <cp:lastModifiedBy>小胡来</cp:lastModifiedBy>
  <cp:lastPrinted>2022-01-14T03:34:00Z</cp:lastPrinted>
  <dcterms:modified xsi:type="dcterms:W3CDTF">2024-01-26T09:18:24Z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11FB60B7310540CC89078C1B3D059E96</vt:lpwstr>
  </property>
</Properties>
</file>