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hint="default" w:ascii="黑体" w:hAnsi="黑体" w:eastAsia="黑体" w:cs="黑体"/>
          <w:b w:val="0"/>
          <w:bCs/>
          <w:sz w:val="44"/>
          <w:szCs w:val="44"/>
        </w:rPr>
      </w:pPr>
    </w:p>
    <w:p>
      <w:pPr>
        <w:pStyle w:val="2"/>
        <w:widowControl/>
        <w:jc w:val="center"/>
        <w:rPr>
          <w:rFonts w:hint="default" w:ascii="FangSong_GB2312" w:hAnsi="FangSong_GB2312" w:eastAsia="FangSong_GB2312" w:cs="FangSong_GB2312"/>
          <w:sz w:val="32"/>
          <w:szCs w:val="32"/>
        </w:rPr>
      </w:pPr>
      <w:r>
        <w:rPr>
          <w:rFonts w:ascii="黑体" w:hAnsi="黑体" w:eastAsia="黑体" w:cs="黑体"/>
          <w:b w:val="0"/>
          <w:bCs/>
          <w:sz w:val="44"/>
          <w:szCs w:val="44"/>
        </w:rPr>
        <w:t>区科技工业区管委会2020年政府信息公开工作年度报告</w:t>
      </w:r>
    </w:p>
    <w:p>
      <w:pPr>
        <w:widowControl/>
        <w:shd w:val="clear" w:color="auto" w:fill="FFFFFF"/>
        <w:ind w:firstLine="640" w:firstLineChars="200"/>
        <w:rPr>
          <w:rFonts w:ascii="FangSong_GB2312" w:hAnsi="宋体" w:eastAsia="FangSong_GB2312" w:cs="FangSong_GB2312"/>
          <w:sz w:val="32"/>
          <w:szCs w:val="32"/>
        </w:rPr>
      </w:pPr>
      <w:r>
        <w:rPr>
          <w:rFonts w:hint="eastAsia" w:ascii="FangSong_GB2312" w:hAnsi="宋体" w:eastAsia="FangSong_GB2312" w:cs="FangSong_GB2312"/>
          <w:sz w:val="32"/>
          <w:szCs w:val="32"/>
        </w:rPr>
        <w:t>2020年，区科技工业区管委会（以下简称“管委会”）认真贯彻落实《中华人民共和国政府信息公开条例》、《拱墅区人民政府办公室关于印发2020年拱墅区政务公开工作要点的通知》（拱政办发〔2020〕14号）等文件要求，强组织、建机制、抓落实，扎实推进政务信息公开工作。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一、总体情况</w:t>
      </w:r>
    </w:p>
    <w:p>
      <w:pPr>
        <w:pStyle w:val="5"/>
        <w:widowControl/>
        <w:spacing w:beforeAutospacing="0" w:afterAutospacing="0"/>
        <w:ind w:firstLine="643" w:firstLineChars="200"/>
        <w:jc w:val="both"/>
        <w:rPr>
          <w:rFonts w:ascii="FangSong_GB2312" w:hAnsi="宋体" w:eastAsia="FangSong_GB2312" w:cs="FangSong_GB2312"/>
          <w:b/>
          <w:bCs/>
          <w:kern w:val="2"/>
          <w:sz w:val="32"/>
          <w:szCs w:val="32"/>
        </w:rPr>
      </w:pPr>
      <w:r>
        <w:rPr>
          <w:rFonts w:hint="eastAsia" w:ascii="FangSong_GB2312" w:hAnsi="宋体" w:eastAsia="FangSong_GB2312" w:cs="FangSong_GB2312"/>
          <w:b/>
          <w:bCs/>
          <w:kern w:val="2"/>
          <w:sz w:val="32"/>
          <w:szCs w:val="32"/>
        </w:rPr>
        <w:t>（一）主动公开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="FangSong_GB2312" w:hAnsi="FangSong_GB2312" w:eastAsia="FangSong_GB2312" w:cs="FangSong_GB2312"/>
          <w:kern w:val="2"/>
          <w:sz w:val="32"/>
          <w:szCs w:val="32"/>
        </w:rPr>
      </w:pPr>
      <w:r>
        <w:rPr>
          <w:rFonts w:hint="eastAsia" w:ascii="FangSong_GB2312" w:hAnsi="宋体" w:eastAsia="FangSong_GB2312" w:cs="FangSong_GB2312"/>
          <w:kern w:val="2"/>
          <w:sz w:val="32"/>
          <w:szCs w:val="32"/>
        </w:rPr>
        <w:t>根据</w:t>
      </w:r>
      <w:r>
        <w:rPr>
          <w:rFonts w:hint="eastAsia" w:ascii="FangSong_GB2312" w:hAnsi="宋体" w:eastAsia="FangSong_GB2312" w:cs="FangSong_GB2312"/>
          <w:sz w:val="32"/>
          <w:szCs w:val="32"/>
        </w:rPr>
        <w:t>省市区政务公开</w:t>
      </w:r>
      <w:r>
        <w:rPr>
          <w:rFonts w:hint="eastAsia" w:ascii="FangSong_GB2312" w:hAnsi="宋体" w:eastAsia="FangSong_GB2312" w:cs="FangSong_GB2312"/>
          <w:kern w:val="2"/>
          <w:sz w:val="32"/>
          <w:szCs w:val="32"/>
        </w:rPr>
        <w:t>文件要求，管委会围绕区委区政府中心工作，结合管委会重点工作，进一步梳理主动公开信息，</w:t>
      </w:r>
      <w:r>
        <w:rPr>
          <w:rFonts w:hint="eastAsia" w:ascii="FangSong_GB2312" w:eastAsia="FangSong_GB2312" w:cs="FangSong_GB2312"/>
          <w:sz w:val="32"/>
          <w:szCs w:val="32"/>
        </w:rPr>
        <w:t>依托拱墅区门户网站主平台，</w:t>
      </w:r>
      <w:r>
        <w:rPr>
          <w:rFonts w:hint="eastAsia" w:ascii="FangSong_GB2312" w:hAnsi="宋体" w:eastAsia="FangSong_GB2312" w:cs="FangSong_GB2312"/>
          <w:kern w:val="2"/>
          <w:sz w:val="32"/>
          <w:szCs w:val="32"/>
        </w:rPr>
        <w:t>依法依规做好重点领域信息的主动公开。2</w:t>
      </w:r>
      <w:r>
        <w:rPr>
          <w:rFonts w:ascii="FangSong_GB2312" w:hAnsi="宋体" w:eastAsia="FangSong_GB2312" w:cs="FangSong_GB2312"/>
          <w:kern w:val="2"/>
          <w:sz w:val="32"/>
          <w:szCs w:val="32"/>
        </w:rPr>
        <w:t>020</w:t>
      </w:r>
      <w:r>
        <w:rPr>
          <w:rFonts w:hint="eastAsia" w:ascii="FangSong_GB2312" w:hAnsi="宋体" w:eastAsia="FangSong_GB2312" w:cs="FangSong_GB2312"/>
          <w:kern w:val="2"/>
          <w:sz w:val="32"/>
          <w:szCs w:val="32"/>
        </w:rPr>
        <w:t>年</w:t>
      </w:r>
      <w:r>
        <w:rPr>
          <w:rFonts w:hint="eastAsia" w:ascii="FangSong_GB2312" w:hAnsi="FangSong_GB2312" w:eastAsia="FangSong_GB2312" w:cs="FangSong_GB2312"/>
          <w:kern w:val="2"/>
          <w:sz w:val="32"/>
          <w:szCs w:val="32"/>
        </w:rPr>
        <w:t>主动公开机构概况、领导及工作人员信息、部门文件等信息11条。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="FangSong_GB2312" w:hAnsi="FangSong_GB2312" w:eastAsia="FangSong_GB2312" w:cs="FangSong_GB2312"/>
          <w:kern w:val="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drawing>
          <wp:inline distT="0" distB="0" distL="114300" distR="114300">
            <wp:extent cx="3709670" cy="2524125"/>
            <wp:effectExtent l="4445" t="4445" r="19685" b="508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5"/>
        <w:widowControl/>
        <w:spacing w:beforeAutospacing="0" w:afterAutospacing="0"/>
        <w:ind w:firstLine="643" w:firstLineChars="200"/>
        <w:jc w:val="both"/>
        <w:rPr>
          <w:rFonts w:ascii="FangSong_GB2312" w:hAnsi="宋体" w:eastAsia="FangSong_GB2312" w:cs="FangSong_GB2312"/>
          <w:b/>
          <w:bCs/>
          <w:kern w:val="2"/>
          <w:sz w:val="32"/>
          <w:szCs w:val="32"/>
        </w:rPr>
      </w:pPr>
      <w:r>
        <w:rPr>
          <w:rFonts w:hint="eastAsia" w:ascii="FangSong_GB2312" w:hAnsi="宋体" w:eastAsia="FangSong_GB2312" w:cs="FangSong_GB2312"/>
          <w:b/>
          <w:bCs/>
          <w:kern w:val="2"/>
          <w:sz w:val="32"/>
          <w:szCs w:val="32"/>
        </w:rPr>
        <w:t>（二）依申请公开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="FangSong_GB2312" w:hAnsi="宋体" w:eastAsia="FangSong_GB2312" w:cs="FangSong_GB2312"/>
          <w:kern w:val="2"/>
          <w:sz w:val="32"/>
          <w:szCs w:val="32"/>
        </w:rPr>
      </w:pPr>
      <w:r>
        <w:rPr>
          <w:rFonts w:hint="eastAsia" w:ascii="FangSong_GB2312" w:hAnsi="宋体" w:eastAsia="FangSong_GB2312" w:cs="FangSong_GB2312"/>
          <w:kern w:val="2"/>
          <w:sz w:val="32"/>
          <w:szCs w:val="32"/>
        </w:rPr>
        <w:t>按照“公开为原则，不公开为例外”的原则，进一步加强部门之间的协作，规范工作流程，做到应公开尽公开。2</w:t>
      </w:r>
      <w:r>
        <w:rPr>
          <w:rFonts w:ascii="FangSong_GB2312" w:hAnsi="宋体" w:eastAsia="FangSong_GB2312" w:cs="FangSong_GB2312"/>
          <w:kern w:val="2"/>
          <w:sz w:val="32"/>
          <w:szCs w:val="32"/>
        </w:rPr>
        <w:t>020</w:t>
      </w:r>
      <w:r>
        <w:rPr>
          <w:rFonts w:hint="eastAsia" w:ascii="FangSong_GB2312" w:hAnsi="宋体" w:eastAsia="FangSong_GB2312" w:cs="FangSong_GB2312"/>
          <w:kern w:val="2"/>
          <w:sz w:val="32"/>
          <w:szCs w:val="32"/>
        </w:rPr>
        <w:t>年，管委会共收到依申请公开事项1项，已依法作出回复。</w:t>
      </w:r>
    </w:p>
    <w:p>
      <w:pPr>
        <w:pStyle w:val="5"/>
        <w:widowControl/>
        <w:spacing w:beforeAutospacing="0" w:afterAutospacing="0"/>
        <w:ind w:firstLine="643" w:firstLineChars="200"/>
        <w:jc w:val="both"/>
        <w:rPr>
          <w:rFonts w:ascii="FangSong_GB2312" w:hAnsi="宋体" w:eastAsia="FangSong_GB2312" w:cs="FangSong_GB2312"/>
          <w:b/>
          <w:bCs/>
          <w:kern w:val="2"/>
          <w:sz w:val="32"/>
          <w:szCs w:val="32"/>
        </w:rPr>
      </w:pPr>
      <w:r>
        <w:rPr>
          <w:rFonts w:hint="eastAsia" w:ascii="FangSong_GB2312" w:hAnsi="宋体" w:eastAsia="FangSong_GB2312" w:cs="FangSong_GB2312"/>
          <w:b/>
          <w:bCs/>
          <w:kern w:val="2"/>
          <w:sz w:val="32"/>
          <w:szCs w:val="32"/>
        </w:rPr>
        <w:t>（三）平台建设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eastAsia="FangSong_GB2312" w:cs="FangSong_GB2312"/>
          <w:sz w:val="32"/>
          <w:szCs w:val="32"/>
        </w:rPr>
        <w:t>以拱墅区门户网站为信息公开主渠道，充分利用微信、微博、公共活动场所电子显示屏、报刊等载体，不断拓展管委会信息公开形式。不断完善管委会信息报送机制，增强微信、微博等政务新媒体信息推送的适用性和及时性，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“今日北软”微信公众号共发布文章400余篇。同时，加强与主流媒体合作，借助媒体的影响力加大宣传力度，拓展服务渠道，全年共发布外媒报道近300篇。</w:t>
      </w:r>
    </w:p>
    <w:p>
      <w:pPr>
        <w:pStyle w:val="5"/>
        <w:widowControl/>
        <w:spacing w:beforeAutospacing="0" w:afterAutospacing="0"/>
        <w:jc w:val="both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drawing>
          <wp:inline distT="0" distB="0" distL="0" distR="0">
            <wp:extent cx="5342890" cy="3116580"/>
            <wp:effectExtent l="0" t="0" r="16510" b="762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5"/>
        <w:widowControl/>
        <w:spacing w:beforeAutospacing="0" w:afterAutospacing="0"/>
        <w:ind w:firstLine="643" w:firstLineChars="200"/>
        <w:jc w:val="both"/>
        <w:rPr>
          <w:rFonts w:ascii="FangSong_GB2312" w:hAnsi="宋体" w:eastAsia="FangSong_GB2312" w:cs="FangSong_GB2312"/>
          <w:kern w:val="2"/>
          <w:sz w:val="32"/>
          <w:szCs w:val="32"/>
        </w:rPr>
      </w:pPr>
      <w:r>
        <w:rPr>
          <w:rFonts w:hint="eastAsia" w:ascii="FangSong_GB2312" w:hAnsi="宋体" w:eastAsia="FangSong_GB2312" w:cs="FangSong_GB2312"/>
          <w:b/>
          <w:bCs/>
          <w:kern w:val="2"/>
          <w:sz w:val="32"/>
          <w:szCs w:val="32"/>
        </w:rPr>
        <w:t>（四）政策解读和回应关切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="FangSong_GB2312" w:hAnsi="宋体" w:eastAsia="FangSong_GB2312" w:cs="FangSong_GB2312"/>
          <w:kern w:val="2"/>
          <w:sz w:val="32"/>
          <w:szCs w:val="32"/>
        </w:rPr>
      </w:pPr>
      <w:r>
        <w:rPr>
          <w:rFonts w:hint="eastAsia" w:ascii="FangSong_GB2312" w:hAnsi="宋体" w:eastAsia="FangSong_GB2312" w:cs="FangSong_GB2312"/>
          <w:kern w:val="2"/>
          <w:sz w:val="32"/>
          <w:szCs w:val="32"/>
        </w:rPr>
        <w:t>管委会2</w:t>
      </w:r>
      <w:r>
        <w:rPr>
          <w:rFonts w:ascii="FangSong_GB2312" w:hAnsi="宋体" w:eastAsia="FangSong_GB2312" w:cs="FangSong_GB2312"/>
          <w:kern w:val="2"/>
          <w:sz w:val="32"/>
          <w:szCs w:val="32"/>
        </w:rPr>
        <w:t>020</w:t>
      </w:r>
      <w:r>
        <w:rPr>
          <w:rFonts w:hint="eastAsia" w:ascii="FangSong_GB2312" w:hAnsi="宋体" w:eastAsia="FangSong_GB2312" w:cs="FangSong_GB2312"/>
          <w:kern w:val="2"/>
          <w:sz w:val="32"/>
          <w:szCs w:val="32"/>
        </w:rPr>
        <w:t>年未发布过规范性文件，也未出台相关政策，故无政策解读信息。</w:t>
      </w:r>
    </w:p>
    <w:p>
      <w:pPr>
        <w:pStyle w:val="5"/>
        <w:widowControl/>
        <w:numPr>
          <w:ilvl w:val="0"/>
          <w:numId w:val="1"/>
        </w:numPr>
        <w:spacing w:beforeAutospacing="0" w:afterAutospacing="0"/>
        <w:ind w:firstLine="643" w:firstLineChars="200"/>
        <w:jc w:val="both"/>
        <w:rPr>
          <w:rFonts w:ascii="FangSong_GB2312" w:hAnsi="宋体" w:eastAsia="FangSong_GB2312" w:cs="FangSong_GB2312"/>
          <w:b/>
          <w:bCs/>
          <w:kern w:val="2"/>
          <w:sz w:val="32"/>
          <w:szCs w:val="32"/>
          <w:highlight w:val="none"/>
        </w:rPr>
      </w:pPr>
      <w:r>
        <w:rPr>
          <w:rFonts w:hint="eastAsia" w:ascii="FangSong_GB2312" w:hAnsi="宋体" w:eastAsia="FangSong_GB2312" w:cs="FangSong_GB2312"/>
          <w:b/>
          <w:bCs/>
          <w:kern w:val="2"/>
          <w:sz w:val="32"/>
          <w:szCs w:val="32"/>
          <w:highlight w:val="none"/>
          <w:lang w:val="en-US" w:eastAsia="zh-CN"/>
        </w:rPr>
        <w:t>政府信息管理和</w:t>
      </w:r>
      <w:r>
        <w:rPr>
          <w:rFonts w:hint="eastAsia" w:ascii="FangSong_GB2312" w:hAnsi="宋体" w:eastAsia="FangSong_GB2312" w:cs="FangSong_GB2312"/>
          <w:b/>
          <w:bCs/>
          <w:kern w:val="2"/>
          <w:sz w:val="32"/>
          <w:szCs w:val="32"/>
          <w:highlight w:val="none"/>
        </w:rPr>
        <w:t>监督保障</w:t>
      </w:r>
    </w:p>
    <w:p>
      <w:pPr>
        <w:pStyle w:val="5"/>
        <w:widowControl/>
        <w:numPr>
          <w:ilvl w:val="0"/>
          <w:numId w:val="0"/>
        </w:numPr>
        <w:spacing w:beforeAutospacing="0" w:afterAutospacing="0"/>
        <w:ind w:firstLine="640" w:firstLineChars="200"/>
        <w:jc w:val="both"/>
        <w:rPr>
          <w:rFonts w:ascii="FangSong_GB2312" w:hAnsi="宋体" w:eastAsia="FangSong_GB2312" w:cs="FangSong_GB2312"/>
          <w:kern w:val="2"/>
          <w:sz w:val="32"/>
          <w:szCs w:val="32"/>
          <w:highlight w:val="yellow"/>
        </w:rPr>
      </w:pPr>
      <w:r>
        <w:rPr>
          <w:rFonts w:hint="eastAsia" w:ascii="FangSong_GB2312" w:hAnsi="宋体" w:eastAsia="FangSong_GB2312" w:cs="FangSong_GB2312"/>
          <w:kern w:val="2"/>
          <w:sz w:val="32"/>
          <w:szCs w:val="32"/>
          <w:highlight w:val="none"/>
        </w:rPr>
        <w:t>管委会十分重视政务公开工作，</w:t>
      </w:r>
      <w:r>
        <w:rPr>
          <w:rFonts w:hint="eastAsia" w:ascii="FangSong_GB2312" w:hAnsi="宋体" w:eastAsia="FangSong_GB2312" w:cs="FangSong_GB2312"/>
          <w:b w:val="0"/>
          <w:bCs w:val="0"/>
          <w:kern w:val="2"/>
          <w:sz w:val="32"/>
          <w:szCs w:val="32"/>
          <w:highlight w:val="none"/>
          <w:lang w:val="en-US" w:eastAsia="zh-CN"/>
        </w:rPr>
        <w:t>一是做好重点领域信息公开管理，如招标投标信息、重大项目建设变更信息等相关内容；二是</w:t>
      </w:r>
      <w:r>
        <w:rPr>
          <w:rFonts w:hint="eastAsia" w:ascii="FangSong_GB2312" w:hAnsi="宋体" w:eastAsia="FangSong_GB2312" w:cs="FangSong_GB2312"/>
          <w:kern w:val="2"/>
          <w:sz w:val="32"/>
          <w:szCs w:val="32"/>
          <w:highlight w:val="none"/>
        </w:rPr>
        <w:t>切实加强领导，明确办公室作为政府信息公开的职能科室，全面协调处理日常事务，同时设有专人负责政务公开相关工作，建立了“信息发布审查、保密条例复核、政务信息员发布、过错责任追究”的“四级”工作机制，确保做好区政府门户网站信息的上报、维护及更新工作</w:t>
      </w:r>
      <w:r>
        <w:rPr>
          <w:rFonts w:hint="eastAsia" w:ascii="FangSong_GB2312" w:hAnsi="宋体" w:eastAsia="FangSong_GB2312" w:cs="FangSong_GB2312"/>
          <w:kern w:val="2"/>
          <w:sz w:val="32"/>
          <w:szCs w:val="32"/>
          <w:highlight w:val="none"/>
          <w:lang w:eastAsia="zh-CN"/>
        </w:rPr>
        <w:t>；</w:t>
      </w:r>
      <w:r>
        <w:rPr>
          <w:rFonts w:hint="eastAsia" w:ascii="FangSong_GB2312" w:hAnsi="宋体" w:eastAsia="FangSong_GB2312" w:cs="FangSong_GB2312"/>
          <w:kern w:val="2"/>
          <w:sz w:val="32"/>
          <w:szCs w:val="32"/>
          <w:highlight w:val="none"/>
          <w:lang w:val="en-US" w:eastAsia="zh-CN"/>
        </w:rPr>
        <w:t>三是加大信息报送力度，</w:t>
      </w:r>
      <w:r>
        <w:rPr>
          <w:rFonts w:hint="eastAsia" w:ascii="FangSong_GB2312" w:hAnsi="宋体" w:eastAsia="FangSong_GB2312" w:cs="FangSong_GB2312"/>
          <w:kern w:val="2"/>
          <w:sz w:val="32"/>
          <w:szCs w:val="32"/>
          <w:highlight w:val="none"/>
        </w:rPr>
        <w:t>每季度对上报信息数量进行统计并通知各科室，切实保障信息发布的数量与质量，努力提高公开实效。</w:t>
      </w:r>
    </w:p>
    <w:p>
      <w:pPr>
        <w:pStyle w:val="5"/>
        <w:widowControl/>
        <w:spacing w:beforeAutospacing="0" w:afterAutospacing="0"/>
        <w:ind w:firstLine="480" w:firstLineChars="200"/>
        <w:jc w:val="both"/>
        <w:rPr>
          <w:rFonts w:ascii="FangSong_GB2312" w:hAnsi="宋体" w:eastAsia="FangSong_GB2312" w:cs="FangSong_GB2312"/>
          <w:kern w:val="2"/>
          <w:sz w:val="32"/>
          <w:szCs w:val="32"/>
        </w:rPr>
      </w:pPr>
      <w:r>
        <w:drawing>
          <wp:inline distT="0" distB="0" distL="114300" distR="114300">
            <wp:extent cx="4479925" cy="2508885"/>
            <wp:effectExtent l="0" t="0" r="15875" b="571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992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6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644.51万元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6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 w:colFirst="4" w:colLast="9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6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drawing>
          <wp:inline distT="0" distB="0" distL="0" distR="0">
            <wp:extent cx="5342890" cy="2602230"/>
            <wp:effectExtent l="0" t="0" r="381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FangSong_GB2312" w:hAnsi="FangSong_GB2312" w:eastAsia="黑体" w:cs="FangSong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FangSong_GB2312" w:hAnsi="FangSong_GB2312" w:eastAsia="FangSong_GB2312" w:cs="FangSong_GB2312"/>
          <w:kern w:val="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管委会仍需</w:t>
      </w:r>
      <w:r>
        <w:rPr>
          <w:rFonts w:hint="eastAsia" w:ascii="FangSong_GB2312" w:hAnsi="FangSong_GB2312" w:eastAsia="FangSong_GB2312" w:cs="FangSong_GB2312"/>
          <w:kern w:val="2"/>
          <w:sz w:val="32"/>
          <w:szCs w:val="32"/>
        </w:rPr>
        <w:t>紧紧围绕区委区政府决策部署，结合园区工作实际，进一步加强政府信息公开力度，拓宽政府信息公开渠道，力争政务公开工作再上新台阶。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FangSong_GB2312" w:hAnsi="FangSong_GB2312" w:eastAsia="FangSong_GB2312" w:cs="FangSong_GB2312"/>
          <w:sz w:val="32"/>
          <w:szCs w:val="32"/>
          <w:lang w:bidi="ar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</w:rPr>
        <w:t>具体举措如下：</w:t>
      </w:r>
      <w:r>
        <w:rPr>
          <w:rFonts w:hint="eastAsia" w:ascii="FangSong_GB2312" w:hAnsi="FangSong_GB2312" w:eastAsia="FangSong_GB2312" w:cs="FangSong_GB2312"/>
          <w:b/>
          <w:bCs/>
          <w:kern w:val="2"/>
          <w:sz w:val="32"/>
          <w:szCs w:val="32"/>
        </w:rPr>
        <w:t>一方面，</w:t>
      </w:r>
      <w:r>
        <w:rPr>
          <w:rFonts w:hint="eastAsia" w:ascii="FangSong_GB2312" w:hAnsi="FangSong_GB2312" w:eastAsia="FangSong_GB2312" w:cs="FangSong_GB2312"/>
          <w:b/>
          <w:bCs/>
          <w:sz w:val="32"/>
          <w:szCs w:val="32"/>
          <w:lang w:bidi="ar"/>
        </w:rPr>
        <w:t>要全面提高信息公开质量。</w:t>
      </w:r>
      <w:r>
        <w:rPr>
          <w:rFonts w:hint="eastAsia" w:ascii="FangSong_GB2312" w:hAnsi="FangSong_GB2312" w:eastAsia="FangSong_GB2312" w:cs="FangSong_GB2312"/>
          <w:sz w:val="32"/>
          <w:szCs w:val="32"/>
          <w:lang w:bidi="ar"/>
        </w:rPr>
        <w:t>聚焦管委会工作实际，根据政务公开文件精神，</w:t>
      </w:r>
      <w:r>
        <w:rPr>
          <w:rFonts w:ascii="FangSong_GB2312" w:eastAsia="FangSong_GB2312" w:cs="FangSong_GB2312"/>
          <w:color w:val="000000"/>
          <w:sz w:val="32"/>
          <w:szCs w:val="32"/>
        </w:rPr>
        <w:t>加强</w:t>
      </w:r>
      <w:r>
        <w:rPr>
          <w:rFonts w:hint="eastAsia" w:ascii="FangSong_GB2312" w:eastAsia="FangSong_GB2312" w:cs="FangSong_GB2312"/>
          <w:color w:val="000000"/>
          <w:sz w:val="32"/>
          <w:szCs w:val="32"/>
        </w:rPr>
        <w:t>政务信息全生命周期管理，进一步规范政务信息制作、保存、上报等相关流程，完善公开信息的内容，确保政务信息的权威性、及时性及有效性。</w:t>
      </w:r>
      <w:r>
        <w:rPr>
          <w:rFonts w:hint="eastAsia" w:ascii="FangSong_GB2312" w:hAnsi="FangSong_GB2312" w:eastAsia="FangSong_GB2312" w:cs="FangSong_GB2312"/>
          <w:b/>
          <w:bCs/>
          <w:sz w:val="32"/>
          <w:szCs w:val="32"/>
          <w:lang w:bidi="ar"/>
        </w:rPr>
        <w:t>另一方面，要加强信息公开业务能力。</w:t>
      </w:r>
      <w:r>
        <w:rPr>
          <w:rFonts w:hint="eastAsia" w:ascii="FangSong_GB2312" w:hAnsi="FangSong_GB2312" w:eastAsia="FangSong_GB2312" w:cs="FangSong_GB2312"/>
          <w:sz w:val="32"/>
          <w:szCs w:val="32"/>
          <w:lang w:bidi="ar"/>
        </w:rPr>
        <w:t>要主动加强与上级部门的沟通协调，及时掌握最新工作要求，认真学习、深入研究，同时积极汲取优秀人员经验，强化主动公开意识，增强专业素养，确保政务公开工作开展高效、有序。 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FangSong_GB2312" w:hAnsi="FangSong_GB2312" w:eastAsia="FangSong_GB2312" w:cs="FangSong_GB2312"/>
          <w:sz w:val="32"/>
          <w:szCs w:val="32"/>
          <w:lang w:bidi="ar"/>
        </w:rPr>
      </w:pPr>
      <w:r>
        <w:rPr>
          <w:rFonts w:ascii="FangSong_GB2312" w:hAnsi="FangSong_GB2312" w:eastAsia="FangSong_GB2312" w:cs="FangSong_GB2312"/>
          <w:sz w:val="32"/>
          <w:szCs w:val="32"/>
        </w:rPr>
        <w:drawing>
          <wp:inline distT="0" distB="0" distL="0" distR="0">
            <wp:extent cx="5342890" cy="2728595"/>
            <wp:effectExtent l="0" t="0" r="381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48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ind w:firstLine="640" w:firstLineChars="200"/>
        <w:jc w:val="left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无。</w:t>
      </w:r>
    </w:p>
    <w:sectPr>
      <w:footerReference r:id="rId3" w:type="default"/>
      <w:pgSz w:w="11906" w:h="16838"/>
      <w:pgMar w:top="1327" w:right="1746" w:bottom="1043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1AD8E3"/>
    <w:multiLevelType w:val="singleLevel"/>
    <w:tmpl w:val="991AD8E3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BC"/>
    <w:rsid w:val="0022118B"/>
    <w:rsid w:val="00231584"/>
    <w:rsid w:val="002A21A1"/>
    <w:rsid w:val="00482856"/>
    <w:rsid w:val="00636C9C"/>
    <w:rsid w:val="007B2C1C"/>
    <w:rsid w:val="008625FD"/>
    <w:rsid w:val="00945811"/>
    <w:rsid w:val="00AB5EE2"/>
    <w:rsid w:val="00AE1C6E"/>
    <w:rsid w:val="00B2202C"/>
    <w:rsid w:val="00CD46F4"/>
    <w:rsid w:val="00DD176C"/>
    <w:rsid w:val="00E0685B"/>
    <w:rsid w:val="00E155A3"/>
    <w:rsid w:val="00E449BC"/>
    <w:rsid w:val="00E56D41"/>
    <w:rsid w:val="02061453"/>
    <w:rsid w:val="08655224"/>
    <w:rsid w:val="0B425EB9"/>
    <w:rsid w:val="0BBF503B"/>
    <w:rsid w:val="0DEE5906"/>
    <w:rsid w:val="0EB64AD3"/>
    <w:rsid w:val="0FB254A1"/>
    <w:rsid w:val="138B0CC9"/>
    <w:rsid w:val="150B4A38"/>
    <w:rsid w:val="1671279B"/>
    <w:rsid w:val="179063C8"/>
    <w:rsid w:val="18E06199"/>
    <w:rsid w:val="1AD17DCA"/>
    <w:rsid w:val="214A4019"/>
    <w:rsid w:val="26D500D4"/>
    <w:rsid w:val="27E44966"/>
    <w:rsid w:val="2811460D"/>
    <w:rsid w:val="288902E3"/>
    <w:rsid w:val="29097BDA"/>
    <w:rsid w:val="2E422896"/>
    <w:rsid w:val="31C83821"/>
    <w:rsid w:val="32E95777"/>
    <w:rsid w:val="346A17CF"/>
    <w:rsid w:val="363D2439"/>
    <w:rsid w:val="364F639C"/>
    <w:rsid w:val="367B42B2"/>
    <w:rsid w:val="38BA7B75"/>
    <w:rsid w:val="398D2A4E"/>
    <w:rsid w:val="3B59559E"/>
    <w:rsid w:val="40A27146"/>
    <w:rsid w:val="41A27B7C"/>
    <w:rsid w:val="424D33DD"/>
    <w:rsid w:val="42F11E76"/>
    <w:rsid w:val="4385496F"/>
    <w:rsid w:val="46D723A4"/>
    <w:rsid w:val="47564513"/>
    <w:rsid w:val="49DD69C7"/>
    <w:rsid w:val="4E7C7816"/>
    <w:rsid w:val="4F5E6964"/>
    <w:rsid w:val="52C32BA9"/>
    <w:rsid w:val="553D64C0"/>
    <w:rsid w:val="596E3799"/>
    <w:rsid w:val="5AC01DEC"/>
    <w:rsid w:val="5B401EDF"/>
    <w:rsid w:val="5DA635C0"/>
    <w:rsid w:val="5F467B5F"/>
    <w:rsid w:val="64036E36"/>
    <w:rsid w:val="676A6A84"/>
    <w:rsid w:val="682557A9"/>
    <w:rsid w:val="6A8725C3"/>
    <w:rsid w:val="6C4D7E07"/>
    <w:rsid w:val="6D462FAA"/>
    <w:rsid w:val="6D677A03"/>
    <w:rsid w:val="6F1D3937"/>
    <w:rsid w:val="6F2F0F19"/>
    <w:rsid w:val="70256642"/>
    <w:rsid w:val="70C87469"/>
    <w:rsid w:val="70DA779C"/>
    <w:rsid w:val="73603ACA"/>
    <w:rsid w:val="74063EEA"/>
    <w:rsid w:val="7490414E"/>
    <w:rsid w:val="77713154"/>
    <w:rsid w:val="7C537A84"/>
    <w:rsid w:val="7F6B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主动公开信息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主动公开信息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部门文件</c:v>
                </c:pt>
                <c:pt idx="1">
                  <c:v>机构设置</c:v>
                </c:pt>
                <c:pt idx="2">
                  <c:v>年度预决算</c:v>
                </c:pt>
                <c:pt idx="3">
                  <c:v>总结计划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平台信息发布情况对比图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Sheet1!$A$2:$A$3</c:f>
              <c:strCache>
                <c:ptCount val="2"/>
                <c:pt idx="0">
                  <c:v>今日北软</c:v>
                </c:pt>
                <c:pt idx="1">
                  <c:v>外媒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368</c:v>
                </c:pt>
                <c:pt idx="1">
                  <c:v>250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Sheet1!$A$2:$A$3</c:f>
              <c:strCache>
                <c:ptCount val="2"/>
                <c:pt idx="0">
                  <c:v>今日北软</c:v>
                </c:pt>
                <c:pt idx="1">
                  <c:v>外媒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400</c:v>
                </c:pt>
                <c:pt idx="1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8089327"/>
        <c:axId val="1870318463"/>
      </c:barChart>
      <c:catAx>
        <c:axId val="1848089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870318463"/>
        <c:crosses val="autoZero"/>
        <c:auto val="1"/>
        <c:lblAlgn val="ctr"/>
        <c:lblOffset val="100"/>
        <c:noMultiLvlLbl val="0"/>
      </c:catAx>
      <c:valAx>
        <c:axId val="18703184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8480893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A281A7-693C-4C74-85FE-696D224D05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360</Words>
  <Characters>2055</Characters>
  <Lines>17</Lines>
  <Paragraphs>4</Paragraphs>
  <TotalTime>5</TotalTime>
  <ScaleCrop>false</ScaleCrop>
  <LinksUpToDate>false</LinksUpToDate>
  <CharactersWithSpaces>2411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2021-01-22T16:35:00Z</dcterms:created>
  <dc:creator>Z-PC</dc:creator>
  <cp:lastModifiedBy>Z-PC</cp:lastModifiedBy>
  <cp:lastPrinted>2021-01-25T02:04:00Z</cp:lastPrinted>
  <dcterms:modified xsi:type="dcterms:W3CDTF">2021-03-23T01:33:44Z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