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黑体" w:eastAsia="方正小标宋简体" w:cs="黑体"/>
          <w:sz w:val="44"/>
          <w:szCs w:val="44"/>
        </w:rPr>
      </w:pPr>
      <w:r>
        <w:rPr>
          <w:rFonts w:hint="default" w:ascii="方正小标宋简体" w:hAnsi="黑体" w:eastAsia="方正小标宋简体" w:cs="黑体"/>
          <w:sz w:val="44"/>
          <w:szCs w:val="44"/>
        </w:rPr>
        <w:t>2020</w:t>
      </w:r>
      <w:r>
        <w:rPr>
          <w:rFonts w:hint="eastAsia" w:ascii="方正小标宋简体" w:hAnsi="黑体" w:eastAsia="方正小标宋简体" w:cs="黑体"/>
          <w:sz w:val="44"/>
          <w:szCs w:val="44"/>
        </w:rPr>
        <w:t>年拱墅区退役军人事务局</w:t>
      </w:r>
    </w:p>
    <w:p>
      <w:pPr>
        <w:adjustRightInd w:val="0"/>
        <w:snapToGrid w:val="0"/>
        <w:spacing w:line="60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政府信息公开工作年度报告</w:t>
      </w:r>
    </w:p>
    <w:p>
      <w:pPr>
        <w:pStyle w:val="2"/>
        <w:rPr>
          <w:rFonts w:hint="eastAsia"/>
        </w:rPr>
      </w:pPr>
    </w:p>
    <w:p>
      <w:pPr>
        <w:widowControl/>
        <w:shd w:val="clear" w:color="auto" w:fill="FFFFFF"/>
        <w:spacing w:line="560" w:lineRule="exact"/>
        <w:ind w:firstLine="640" w:firstLineChars="20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一、总体情况</w:t>
      </w:r>
    </w:p>
    <w:p>
      <w:pPr>
        <w:widowControl/>
        <w:shd w:val="clear" w:color="auto" w:fill="FFFFFF"/>
        <w:ind w:firstLine="480"/>
        <w:jc w:val="both"/>
        <w:rPr>
          <w:rFonts w:hint="eastAsia" w:ascii="仿宋_GB2312" w:hAnsi="微软雅黑" w:eastAsia="仿宋_GB2312" w:cs="宋体"/>
          <w:kern w:val="0"/>
          <w:sz w:val="32"/>
          <w:szCs w:val="32"/>
        </w:rPr>
      </w:pPr>
      <w:r>
        <w:rPr>
          <w:rFonts w:hint="default" w:ascii="仿宋_GB2312" w:eastAsia="仿宋_GB2312"/>
          <w:sz w:val="32"/>
          <w:szCs w:val="32"/>
        </w:rPr>
        <w:t>2020年拱墅区退役军人事务局政务公开工作以习近平新时代中国特色社会主义思想为指导，按照《中华人民共和国政府信息公开条例》要求，</w:t>
      </w:r>
      <w:r>
        <w:rPr>
          <w:rFonts w:hint="eastAsia" w:ascii="仿宋_GB2312" w:hAnsi="微软雅黑" w:eastAsia="仿宋_GB2312" w:cs="宋体"/>
          <w:kern w:val="0"/>
          <w:sz w:val="32"/>
          <w:szCs w:val="32"/>
        </w:rPr>
        <w:t>认真贯彻落实上级关于政府信息公开各项规定,着力提升政务公开质量，深化重点领域信息公开，认真做好</w:t>
      </w:r>
      <w:r>
        <w:rPr>
          <w:rFonts w:hint="default" w:ascii="仿宋_GB2312" w:hAnsi="微软雅黑" w:eastAsia="仿宋_GB2312" w:cs="宋体"/>
          <w:kern w:val="0"/>
          <w:sz w:val="32"/>
          <w:szCs w:val="32"/>
        </w:rPr>
        <w:t>数据</w:t>
      </w:r>
      <w:r>
        <w:rPr>
          <w:rFonts w:hint="eastAsia" w:ascii="仿宋_GB2312" w:hAnsi="微软雅黑" w:eastAsia="仿宋_GB2312" w:cs="宋体"/>
          <w:kern w:val="0"/>
          <w:sz w:val="32"/>
          <w:szCs w:val="32"/>
        </w:rPr>
        <w:t>信息梳理</w:t>
      </w:r>
      <w:r>
        <w:rPr>
          <w:rFonts w:hint="default" w:ascii="仿宋_GB2312" w:hAnsi="微软雅黑" w:eastAsia="仿宋_GB2312" w:cs="宋体"/>
          <w:kern w:val="0"/>
          <w:sz w:val="32"/>
          <w:szCs w:val="32"/>
        </w:rPr>
        <w:t>并</w:t>
      </w:r>
      <w:r>
        <w:rPr>
          <w:rFonts w:hint="eastAsia" w:ascii="仿宋_GB2312" w:hAnsi="微软雅黑" w:eastAsia="仿宋_GB2312" w:cs="宋体"/>
          <w:kern w:val="0"/>
          <w:sz w:val="32"/>
          <w:szCs w:val="32"/>
        </w:rPr>
        <w:t>主动公开</w:t>
      </w:r>
      <w:r>
        <w:rPr>
          <w:rFonts w:hint="default" w:ascii="仿宋_GB2312" w:hAnsi="微软雅黑" w:eastAsia="仿宋_GB2312" w:cs="宋体"/>
          <w:kern w:val="0"/>
          <w:sz w:val="32"/>
          <w:szCs w:val="32"/>
        </w:rPr>
        <w:t>，</w:t>
      </w:r>
      <w:r>
        <w:rPr>
          <w:rFonts w:hint="eastAsia" w:ascii="仿宋_GB2312" w:hAnsi="微软雅黑" w:eastAsia="仿宋_GB2312" w:cs="宋体"/>
          <w:kern w:val="0"/>
          <w:sz w:val="32"/>
          <w:szCs w:val="32"/>
        </w:rPr>
        <w:t>维护和保障群众的知情权。</w:t>
      </w:r>
    </w:p>
    <w:p>
      <w:pPr>
        <w:widowControl/>
        <w:ind w:firstLine="643" w:firstLineChars="200"/>
        <w:rPr>
          <w:rStyle w:val="6"/>
          <w:rFonts w:ascii="楷体" w:hAnsi="楷体" w:eastAsia="楷体" w:cs="楷体"/>
          <w:kern w:val="0"/>
          <w:sz w:val="32"/>
          <w:szCs w:val="32"/>
        </w:rPr>
      </w:pPr>
      <w:r>
        <w:rPr>
          <w:rStyle w:val="6"/>
          <w:rFonts w:ascii="楷体" w:hAnsi="楷体" w:eastAsia="楷体" w:cs="楷体"/>
          <w:kern w:val="0"/>
          <w:sz w:val="32"/>
          <w:szCs w:val="32"/>
        </w:rPr>
        <w:t>（一）政府信息主动公开情况</w:t>
      </w:r>
    </w:p>
    <w:p>
      <w:pPr>
        <w:pStyle w:val="3"/>
        <w:widowControl/>
        <w:spacing w:beforeAutospacing="0" w:afterAutospacing="0"/>
        <w:ind w:firstLine="640" w:firstLineChars="200"/>
        <w:jc w:val="left"/>
        <w:rPr>
          <w:rFonts w:ascii="仿宋" w:hAnsi="仿宋" w:eastAsia="仿宋" w:cs="仿宋"/>
          <w:sz w:val="32"/>
          <w:szCs w:val="32"/>
        </w:rPr>
      </w:pPr>
      <w:r>
        <w:rPr>
          <w:rFonts w:hint="eastAsia" w:ascii="仿宋" w:hAnsi="仿宋" w:eastAsia="仿宋" w:cs="仿宋"/>
          <w:sz w:val="32"/>
          <w:szCs w:val="32"/>
        </w:rPr>
        <w:t>本年度以拱墅区政府信息公开网站为平台，共发布、更新各类公开信息7条，其中资金信息2条，行政执法公开4条，信息公开年度报告1条。</w:t>
      </w:r>
      <w:r>
        <w:rPr>
          <w:rFonts w:ascii="仿宋" w:hAnsi="仿宋" w:eastAsia="仿宋" w:cs="仿宋"/>
          <w:sz w:val="32"/>
          <w:szCs w:val="32"/>
        </w:rPr>
        <w:t>其中包括</w:t>
      </w:r>
      <w:r>
        <w:rPr>
          <w:rFonts w:hint="eastAsia" w:ascii="仿宋" w:hAnsi="仿宋" w:eastAsia="仿宋" w:cs="仿宋"/>
          <w:sz w:val="32"/>
          <w:szCs w:val="32"/>
        </w:rPr>
        <w:t>“杭州市</w:t>
      </w:r>
      <w:r>
        <w:rPr>
          <w:rFonts w:ascii="仿宋" w:hAnsi="仿宋" w:eastAsia="仿宋" w:cs="仿宋"/>
          <w:sz w:val="32"/>
          <w:szCs w:val="32"/>
        </w:rPr>
        <w:t>拱墅区退役军人局20</w:t>
      </w:r>
      <w:r>
        <w:rPr>
          <w:rFonts w:hint="eastAsia" w:ascii="仿宋" w:hAnsi="仿宋" w:eastAsia="仿宋" w:cs="仿宋"/>
          <w:sz w:val="32"/>
          <w:szCs w:val="32"/>
        </w:rPr>
        <w:t>20年部门预算</w:t>
      </w:r>
      <w:r>
        <w:rPr>
          <w:rFonts w:ascii="仿宋" w:hAnsi="仿宋" w:eastAsia="仿宋" w:cs="仿宋"/>
          <w:sz w:val="32"/>
          <w:szCs w:val="32"/>
        </w:rPr>
        <w:t>公开说明</w:t>
      </w:r>
      <w:r>
        <w:rPr>
          <w:rFonts w:hint="eastAsia" w:ascii="仿宋" w:hAnsi="仿宋" w:eastAsia="仿宋" w:cs="仿宋"/>
          <w:sz w:val="32"/>
          <w:szCs w:val="32"/>
        </w:rPr>
        <w:t>”、“杭州市</w:t>
      </w:r>
      <w:r>
        <w:rPr>
          <w:rFonts w:ascii="仿宋" w:hAnsi="仿宋" w:eastAsia="仿宋" w:cs="仿宋"/>
          <w:sz w:val="32"/>
          <w:szCs w:val="32"/>
        </w:rPr>
        <w:t>拱墅区退役军人局2019</w:t>
      </w:r>
      <w:r>
        <w:rPr>
          <w:rFonts w:hint="eastAsia" w:ascii="仿宋" w:hAnsi="仿宋" w:eastAsia="仿宋" w:cs="仿宋"/>
          <w:sz w:val="32"/>
          <w:szCs w:val="32"/>
        </w:rPr>
        <w:t>年部门</w:t>
      </w:r>
      <w:r>
        <w:rPr>
          <w:rFonts w:ascii="仿宋" w:hAnsi="仿宋" w:eastAsia="仿宋" w:cs="仿宋"/>
          <w:sz w:val="32"/>
          <w:szCs w:val="32"/>
        </w:rPr>
        <w:t>决算</w:t>
      </w:r>
      <w:r>
        <w:rPr>
          <w:rFonts w:hint="eastAsia" w:ascii="仿宋" w:hAnsi="仿宋" w:eastAsia="仿宋" w:cs="仿宋"/>
          <w:sz w:val="32"/>
          <w:szCs w:val="32"/>
        </w:rPr>
        <w:t>”等信息</w:t>
      </w:r>
      <w:r>
        <w:rPr>
          <w:rFonts w:ascii="仿宋" w:hAnsi="仿宋" w:eastAsia="仿宋" w:cs="仿宋"/>
          <w:sz w:val="32"/>
          <w:szCs w:val="32"/>
        </w:rPr>
        <w:t>。</w:t>
      </w:r>
    </w:p>
    <w:p>
      <w:pPr>
        <w:pStyle w:val="3"/>
        <w:widowControl/>
        <w:spacing w:beforeAutospacing="0" w:afterAutospacing="0"/>
        <w:ind w:firstLine="640" w:firstLineChars="200"/>
        <w:jc w:val="left"/>
        <w:rPr>
          <w:rFonts w:ascii="仿宋" w:hAnsi="仿宋" w:eastAsia="仿宋" w:cs="仿宋"/>
          <w:sz w:val="32"/>
          <w:szCs w:val="32"/>
        </w:rPr>
      </w:pPr>
      <w:r>
        <w:rPr>
          <w:rFonts w:hint="default" w:ascii="仿宋_GB2312" w:hAnsi="微软雅黑" w:eastAsia="仿宋_GB2312" w:cs="宋体"/>
          <w:kern w:val="0"/>
          <w:sz w:val="32"/>
          <w:szCs w:val="32"/>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3"/>
        <w:widowControl/>
        <w:spacing w:beforeAutospacing="0" w:afterAutospacing="0"/>
        <w:ind w:firstLine="643" w:firstLineChars="200"/>
        <w:jc w:val="both"/>
        <w:rPr>
          <w:rFonts w:ascii="楷体" w:hAnsi="楷体" w:eastAsia="楷体" w:cs="楷体"/>
          <w:b/>
          <w:bCs/>
          <w:sz w:val="32"/>
          <w:szCs w:val="32"/>
        </w:rPr>
      </w:pPr>
      <w:r>
        <w:rPr>
          <w:rFonts w:ascii="楷体" w:hAnsi="楷体" w:eastAsia="楷体" w:cs="楷体"/>
          <w:b/>
          <w:bCs/>
          <w:sz w:val="32"/>
          <w:szCs w:val="32"/>
        </w:rPr>
        <w:t>（二）政府信息依申请公开情况</w:t>
      </w:r>
    </w:p>
    <w:p>
      <w:pPr>
        <w:widowControl/>
        <w:shd w:val="clear" w:color="auto" w:fill="FFFFFF"/>
        <w:ind w:firstLine="640" w:firstLineChars="200"/>
        <w:rPr>
          <w:rFonts w:ascii="仿宋" w:hAnsi="仿宋" w:eastAsia="仿宋" w:cs="仿宋"/>
          <w:sz w:val="32"/>
          <w:szCs w:val="32"/>
        </w:rPr>
      </w:pPr>
      <w:r>
        <w:rPr>
          <w:rFonts w:hint="eastAsia" w:ascii="仿宋" w:hAnsi="仿宋" w:eastAsia="仿宋" w:cs="仿宋"/>
          <w:kern w:val="0"/>
          <w:sz w:val="32"/>
          <w:szCs w:val="32"/>
        </w:rPr>
        <w:t>本年度无公民、法人或其他组织向我局提出政府信息公开申请，</w:t>
      </w:r>
      <w:r>
        <w:rPr>
          <w:rFonts w:hint="eastAsia" w:ascii="仿宋" w:hAnsi="仿宋" w:eastAsia="仿宋" w:cs="仿宋"/>
          <w:sz w:val="32"/>
          <w:szCs w:val="32"/>
        </w:rPr>
        <w:t>未对政府信息公开进行收费和减免，未发生针对我局有关政府信息公开事务的行政复议案、行政诉讼案。</w:t>
      </w:r>
    </w:p>
    <w:p>
      <w:pPr>
        <w:widowControl/>
        <w:ind w:firstLine="643" w:firstLineChars="200"/>
        <w:jc w:val="left"/>
        <w:rPr>
          <w:rFonts w:ascii="楷体" w:hAnsi="楷体" w:eastAsia="楷体" w:cs="楷体"/>
          <w:b/>
          <w:bCs/>
          <w:kern w:val="0"/>
          <w:sz w:val="32"/>
          <w:szCs w:val="32"/>
        </w:rPr>
      </w:pPr>
      <w:r>
        <w:rPr>
          <w:rFonts w:ascii="楷体" w:hAnsi="楷体" w:eastAsia="楷体" w:cs="楷体"/>
          <w:b/>
          <w:bCs/>
          <w:kern w:val="0"/>
          <w:sz w:val="32"/>
          <w:szCs w:val="32"/>
        </w:rPr>
        <w:t>（三）平台建设情况</w:t>
      </w:r>
    </w:p>
    <w:p>
      <w:pPr>
        <w:pStyle w:val="3"/>
        <w:widowControl/>
        <w:spacing w:beforeAutospacing="0" w:afterAutospacing="0"/>
        <w:ind w:firstLine="640" w:firstLineChars="200"/>
        <w:jc w:val="both"/>
        <w:rPr>
          <w:rFonts w:ascii="仿宋" w:hAnsi="仿宋" w:eastAsia="仿宋" w:cs="仿宋"/>
          <w:color w:val="000101"/>
          <w:sz w:val="32"/>
          <w:szCs w:val="32"/>
        </w:rPr>
      </w:pPr>
      <w:r>
        <w:rPr>
          <w:rFonts w:hint="eastAsia" w:ascii="仿宋" w:hAnsi="仿宋" w:eastAsia="仿宋" w:cs="仿宋"/>
          <w:color w:val="000101"/>
          <w:sz w:val="32"/>
          <w:szCs w:val="32"/>
        </w:rPr>
        <w:t>我</w:t>
      </w:r>
      <w:r>
        <w:rPr>
          <w:rFonts w:ascii="仿宋" w:hAnsi="仿宋" w:eastAsia="仿宋" w:cs="仿宋"/>
          <w:color w:val="000101"/>
          <w:sz w:val="32"/>
          <w:szCs w:val="32"/>
        </w:rPr>
        <w:t>局</w:t>
      </w:r>
      <w:r>
        <w:rPr>
          <w:rFonts w:hint="eastAsia" w:ascii="仿宋" w:hAnsi="仿宋" w:eastAsia="仿宋" w:cs="仿宋"/>
          <w:color w:val="000101"/>
          <w:sz w:val="32"/>
          <w:szCs w:val="32"/>
        </w:rPr>
        <w:t>安排专人负责政务网站</w:t>
      </w:r>
      <w:r>
        <w:rPr>
          <w:rFonts w:ascii="仿宋" w:hAnsi="仿宋" w:eastAsia="仿宋" w:cs="仿宋"/>
          <w:color w:val="000101"/>
          <w:sz w:val="32"/>
          <w:szCs w:val="32"/>
        </w:rPr>
        <w:t>信息公开</w:t>
      </w:r>
      <w:r>
        <w:rPr>
          <w:rFonts w:hint="eastAsia" w:ascii="仿宋" w:hAnsi="仿宋" w:eastAsia="仿宋" w:cs="仿宋"/>
          <w:color w:val="000101"/>
          <w:sz w:val="32"/>
          <w:szCs w:val="32"/>
        </w:rPr>
        <w:t>，并严格</w:t>
      </w:r>
      <w:r>
        <w:rPr>
          <w:rFonts w:ascii="仿宋" w:hAnsi="仿宋" w:eastAsia="仿宋" w:cs="仿宋"/>
          <w:color w:val="000101"/>
          <w:sz w:val="32"/>
          <w:szCs w:val="32"/>
        </w:rPr>
        <w:t>遵守</w:t>
      </w:r>
      <w:r>
        <w:rPr>
          <w:rFonts w:hint="eastAsia" w:ascii="仿宋" w:hAnsi="仿宋" w:eastAsia="仿宋" w:cs="仿宋"/>
          <w:color w:val="000101"/>
          <w:sz w:val="32"/>
          <w:szCs w:val="32"/>
        </w:rPr>
        <w:t>网络安全法等法律法规和政策标准，按要求开展检测评估和安全建设。完善公开渠道，科学建设平台</w:t>
      </w:r>
      <w:r>
        <w:rPr>
          <w:rFonts w:ascii="仿宋" w:hAnsi="仿宋" w:eastAsia="仿宋" w:cs="仿宋"/>
          <w:color w:val="000101"/>
          <w:sz w:val="32"/>
          <w:szCs w:val="32"/>
        </w:rPr>
        <w:t>，</w:t>
      </w:r>
      <w:r>
        <w:rPr>
          <w:rFonts w:hint="eastAsia" w:ascii="仿宋" w:hAnsi="仿宋" w:eastAsia="仿宋" w:cs="仿宋"/>
          <w:color w:val="000101"/>
          <w:sz w:val="32"/>
          <w:szCs w:val="32"/>
        </w:rPr>
        <w:t>加大微信等自媒体平台建设，扩大政务信息公开渠道。</w:t>
      </w:r>
      <w:r>
        <w:rPr>
          <w:rFonts w:ascii="仿宋" w:hAnsi="仿宋" w:eastAsia="仿宋" w:cs="仿宋"/>
          <w:color w:val="000101"/>
          <w:sz w:val="32"/>
          <w:szCs w:val="32"/>
        </w:rPr>
        <w:t>设计开发“</w:t>
      </w:r>
      <w:r>
        <w:rPr>
          <w:rFonts w:hint="eastAsia" w:ascii="仿宋" w:hAnsi="仿宋" w:eastAsia="仿宋" w:cs="仿宋"/>
          <w:color w:val="000101"/>
          <w:sz w:val="32"/>
          <w:szCs w:val="32"/>
        </w:rPr>
        <w:t>运河红星家园</w:t>
      </w:r>
      <w:r>
        <w:rPr>
          <w:rFonts w:ascii="仿宋" w:hAnsi="仿宋" w:eastAsia="仿宋" w:cs="仿宋"/>
          <w:color w:val="000101"/>
          <w:sz w:val="32"/>
          <w:szCs w:val="32"/>
        </w:rPr>
        <w:t>”</w:t>
      </w:r>
      <w:r>
        <w:rPr>
          <w:rFonts w:hint="eastAsia" w:ascii="仿宋" w:hAnsi="仿宋" w:eastAsia="仿宋" w:cs="仿宋"/>
          <w:color w:val="000101"/>
          <w:sz w:val="32"/>
          <w:szCs w:val="32"/>
        </w:rPr>
        <w:t>小程序，设立更有针对性的栏目分类</w:t>
      </w:r>
      <w:r>
        <w:rPr>
          <w:rFonts w:ascii="仿宋" w:hAnsi="仿宋" w:eastAsia="仿宋" w:cs="仿宋"/>
          <w:color w:val="000101"/>
          <w:sz w:val="32"/>
          <w:szCs w:val="32"/>
        </w:rPr>
        <w:t>，</w:t>
      </w:r>
      <w:r>
        <w:rPr>
          <w:rFonts w:hint="eastAsia" w:ascii="仿宋" w:hAnsi="仿宋" w:eastAsia="仿宋" w:cs="仿宋"/>
          <w:color w:val="000101"/>
          <w:sz w:val="32"/>
          <w:szCs w:val="32"/>
        </w:rPr>
        <w:t>正常运行并定期发布公开信息。</w:t>
      </w:r>
    </w:p>
    <w:p>
      <w:pPr>
        <w:widowControl/>
        <w:numPr>
          <w:ilvl w:val="0"/>
          <w:numId w:val="1"/>
        </w:numPr>
        <w:ind w:firstLine="643" w:firstLineChars="200"/>
        <w:jc w:val="left"/>
        <w:rPr>
          <w:rFonts w:ascii="楷体" w:hAnsi="楷体" w:eastAsia="楷体" w:cs="楷体"/>
          <w:b/>
          <w:bCs/>
          <w:kern w:val="0"/>
          <w:sz w:val="32"/>
          <w:szCs w:val="32"/>
        </w:rPr>
      </w:pPr>
      <w:r>
        <w:rPr>
          <w:rFonts w:hint="eastAsia" w:ascii="楷体" w:hAnsi="楷体" w:eastAsia="楷体" w:cs="楷体"/>
          <w:b/>
          <w:bCs/>
          <w:kern w:val="0"/>
          <w:sz w:val="32"/>
          <w:szCs w:val="32"/>
        </w:rPr>
        <w:t>政策解读情况</w:t>
      </w:r>
    </w:p>
    <w:p>
      <w:pPr>
        <w:widowControl/>
        <w:ind w:firstLine="640" w:firstLineChars="200"/>
        <w:rPr>
          <w:rFonts w:ascii="仿宋" w:hAnsi="仿宋" w:eastAsia="仿宋" w:cs="仿宋"/>
          <w:color w:val="000101"/>
          <w:kern w:val="0"/>
          <w:sz w:val="32"/>
          <w:szCs w:val="32"/>
        </w:rPr>
      </w:pPr>
      <w:r>
        <w:rPr>
          <w:rFonts w:hint="eastAsia" w:ascii="仿宋" w:hAnsi="仿宋" w:eastAsia="仿宋" w:cs="仿宋"/>
          <w:color w:val="000101"/>
          <w:kern w:val="0"/>
          <w:sz w:val="32"/>
          <w:szCs w:val="32"/>
        </w:rPr>
        <w:t>切实做到提高政务信息工作的主动性。克服“坐等信息”和“二传手”的作法，坚持把人民群众普遍关心、涉及人民群众切身利益的问题作为政务公开的重点。</w:t>
      </w:r>
      <w:r>
        <w:rPr>
          <w:rFonts w:ascii="仿宋" w:hAnsi="仿宋" w:eastAsia="仿宋" w:cs="仿宋"/>
          <w:color w:val="000101"/>
          <w:kern w:val="0"/>
          <w:sz w:val="32"/>
          <w:szCs w:val="32"/>
        </w:rPr>
        <w:t>我局及时公开《中华人民共和国退役军人保障法》《中华人民共和国国家安全法》等文件，第一时间将实施意见的制定背景、主要内容等推送给公众。</w:t>
      </w:r>
    </w:p>
    <w:p>
      <w:pPr>
        <w:widowControl/>
        <w:ind w:firstLine="643" w:firstLineChars="200"/>
        <w:rPr>
          <w:rFonts w:ascii="仿宋" w:hAnsi="仿宋" w:eastAsia="仿宋" w:cs="仿宋"/>
          <w:color w:val="000101"/>
          <w:kern w:val="0"/>
          <w:sz w:val="32"/>
          <w:szCs w:val="32"/>
        </w:rPr>
      </w:pPr>
      <w:r>
        <w:rPr>
          <w:rFonts w:ascii="楷体" w:hAnsi="楷体" w:eastAsia="楷体" w:cs="楷体"/>
          <w:b/>
          <w:bCs/>
          <w:kern w:val="0"/>
          <w:sz w:val="32"/>
          <w:szCs w:val="32"/>
        </w:rPr>
        <w:t>（五）</w:t>
      </w:r>
      <w:r>
        <w:rPr>
          <w:rFonts w:hint="eastAsia" w:ascii="楷体" w:hAnsi="楷体" w:eastAsia="楷体" w:cs="楷体"/>
          <w:b/>
          <w:bCs/>
          <w:kern w:val="0"/>
          <w:sz w:val="32"/>
          <w:szCs w:val="32"/>
        </w:rPr>
        <w:t>回应关切</w:t>
      </w:r>
      <w:r>
        <w:rPr>
          <w:rFonts w:ascii="楷体" w:hAnsi="楷体" w:eastAsia="楷体" w:cs="楷体"/>
          <w:b/>
          <w:bCs/>
          <w:kern w:val="0"/>
          <w:sz w:val="32"/>
          <w:szCs w:val="32"/>
        </w:rPr>
        <w:t>情况</w:t>
      </w:r>
    </w:p>
    <w:p>
      <w:pPr>
        <w:widowControl/>
        <w:ind w:firstLine="640" w:firstLineChars="200"/>
        <w:rPr>
          <w:rFonts w:ascii="仿宋" w:hAnsi="仿宋" w:eastAsia="仿宋" w:cs="仿宋"/>
          <w:color w:val="000101"/>
          <w:kern w:val="0"/>
          <w:sz w:val="32"/>
          <w:szCs w:val="32"/>
        </w:rPr>
      </w:pPr>
      <w:r>
        <w:rPr>
          <w:rFonts w:ascii="仿宋" w:hAnsi="仿宋" w:eastAsia="仿宋" w:cs="仿宋"/>
          <w:color w:val="000101"/>
          <w:kern w:val="0"/>
          <w:sz w:val="32"/>
          <w:szCs w:val="32"/>
        </w:rPr>
        <w:t>2020年，我局通过权威发布通报了“全国退役军人创新创业大赛暨杭州首届退役军人创新创业大赛”、“2020年度拱墅专职社工招聘”、“拱墅区退役军人返乡专场招聘会及网络招聘会”等，及时发布涉及退役军人切身利益的相关信息。先后策划了“防控疫情，拱墅区退役军人在行动”、“迎八一、讲尊崇、建新功”系列报道等专题，主动发布人民群众关心关注的各类信息。</w:t>
      </w:r>
    </w:p>
    <w:p>
      <w:pPr>
        <w:widowControl/>
        <w:ind w:firstLine="643" w:firstLineChars="200"/>
        <w:jc w:val="left"/>
        <w:rPr>
          <w:rFonts w:ascii="楷体" w:hAnsi="楷体" w:eastAsia="楷体" w:cs="楷体"/>
          <w:b/>
          <w:bCs/>
          <w:kern w:val="0"/>
          <w:sz w:val="32"/>
          <w:szCs w:val="32"/>
        </w:rPr>
      </w:pPr>
      <w:r>
        <w:rPr>
          <w:rFonts w:ascii="楷体" w:hAnsi="楷体" w:eastAsia="楷体" w:cs="楷体"/>
          <w:b/>
          <w:bCs/>
          <w:kern w:val="0"/>
          <w:sz w:val="32"/>
          <w:szCs w:val="32"/>
        </w:rPr>
        <w:t>（六）</w:t>
      </w:r>
      <w:r>
        <w:rPr>
          <w:rFonts w:hint="eastAsia" w:ascii="楷体" w:hAnsi="楷体" w:eastAsia="楷体" w:cs="楷体"/>
          <w:b/>
          <w:bCs/>
          <w:kern w:val="0"/>
          <w:sz w:val="32"/>
          <w:szCs w:val="32"/>
        </w:rPr>
        <w:t>重点领域政府信息公开情况</w:t>
      </w:r>
    </w:p>
    <w:p>
      <w:pPr>
        <w:widowControl/>
        <w:ind w:firstLine="640" w:firstLineChars="200"/>
        <w:rPr>
          <w:rFonts w:ascii="仿宋" w:hAnsi="仿宋" w:eastAsia="仿宋" w:cs="仿宋"/>
          <w:color w:val="000101"/>
          <w:kern w:val="0"/>
          <w:sz w:val="32"/>
          <w:szCs w:val="32"/>
        </w:rPr>
      </w:pPr>
      <w:r>
        <w:rPr>
          <w:rFonts w:hint="eastAsia" w:ascii="仿宋" w:hAnsi="仿宋" w:eastAsia="仿宋" w:cs="仿宋"/>
          <w:color w:val="000101"/>
          <w:kern w:val="0"/>
          <w:sz w:val="32"/>
          <w:szCs w:val="32"/>
        </w:rPr>
        <w:t xml:space="preserve"> 局领导高度重视政务信息公开工作，充分认识到做好重点领域</w:t>
      </w:r>
      <w:r>
        <w:rPr>
          <w:rFonts w:ascii="仿宋" w:hAnsi="仿宋" w:eastAsia="仿宋" w:cs="仿宋"/>
          <w:color w:val="000101"/>
          <w:kern w:val="0"/>
          <w:sz w:val="32"/>
          <w:szCs w:val="32"/>
        </w:rPr>
        <w:t>政府信息公开</w:t>
      </w:r>
      <w:r>
        <w:rPr>
          <w:rFonts w:hint="eastAsia" w:ascii="仿宋" w:hAnsi="仿宋" w:eastAsia="仿宋" w:cs="仿宋"/>
          <w:color w:val="000101"/>
          <w:kern w:val="0"/>
          <w:sz w:val="32"/>
          <w:szCs w:val="32"/>
        </w:rPr>
        <w:t>对于促进退役军人服务保障的重要作用。主要负责人与分管领导定期听取政务公开工作总结，研究部署、高效推动各项具体工作。坚持“公开为常态、不公开为例外”</w:t>
      </w:r>
      <w:r>
        <w:rPr>
          <w:rFonts w:ascii="仿宋" w:hAnsi="仿宋" w:eastAsia="仿宋" w:cs="仿宋"/>
          <w:color w:val="000101"/>
          <w:kern w:val="0"/>
          <w:sz w:val="32"/>
          <w:szCs w:val="32"/>
        </w:rPr>
        <w:t>，</w:t>
      </w:r>
      <w:r>
        <w:rPr>
          <w:rFonts w:hint="eastAsia" w:ascii="仿宋" w:hAnsi="仿宋" w:eastAsia="仿宋" w:cs="仿宋"/>
          <w:color w:val="000101"/>
          <w:kern w:val="0"/>
          <w:sz w:val="32"/>
          <w:szCs w:val="32"/>
        </w:rPr>
        <w:t>根据具体工作要求及时调整政务公开领导小组，加强对重点领域</w:t>
      </w:r>
      <w:r>
        <w:rPr>
          <w:rFonts w:ascii="仿宋" w:hAnsi="仿宋" w:eastAsia="仿宋" w:cs="仿宋"/>
          <w:color w:val="000101"/>
          <w:kern w:val="0"/>
          <w:sz w:val="32"/>
          <w:szCs w:val="32"/>
        </w:rPr>
        <w:t>政府信息公开</w:t>
      </w:r>
      <w:r>
        <w:rPr>
          <w:rFonts w:hint="eastAsia" w:ascii="仿宋" w:hAnsi="仿宋" w:eastAsia="仿宋" w:cs="仿宋"/>
          <w:color w:val="000101"/>
          <w:kern w:val="0"/>
          <w:sz w:val="32"/>
          <w:szCs w:val="32"/>
        </w:rPr>
        <w:t>的指导和日常工作，保证区委区政府的工作要求落实到位。</w:t>
      </w:r>
    </w:p>
    <w:p>
      <w:pPr>
        <w:widowControl/>
        <w:ind w:firstLine="643" w:firstLineChars="200"/>
        <w:jc w:val="left"/>
        <w:rPr>
          <w:rFonts w:ascii="楷体" w:hAnsi="楷体" w:eastAsia="楷体" w:cs="楷体"/>
          <w:b/>
          <w:bCs/>
          <w:kern w:val="0"/>
          <w:sz w:val="32"/>
          <w:szCs w:val="32"/>
        </w:rPr>
      </w:pPr>
      <w:r>
        <w:rPr>
          <w:rFonts w:ascii="楷体" w:hAnsi="楷体" w:eastAsia="楷体" w:cs="楷体"/>
          <w:b/>
          <w:bCs/>
          <w:kern w:val="0"/>
          <w:sz w:val="32"/>
          <w:szCs w:val="32"/>
        </w:rPr>
        <w:t>（七）监督保障</w:t>
      </w:r>
    </w:p>
    <w:p>
      <w:pPr>
        <w:widowControl/>
        <w:shd w:val="clear" w:color="auto" w:fill="FFFFFF"/>
        <w:ind w:firstLine="480"/>
        <w:jc w:val="both"/>
        <w:rPr>
          <w:rFonts w:hint="eastAsia" w:ascii="仿宋" w:hAnsi="仿宋" w:eastAsia="仿宋" w:cs="仿宋"/>
          <w:color w:val="000101"/>
          <w:kern w:val="0"/>
          <w:sz w:val="32"/>
          <w:szCs w:val="32"/>
        </w:rPr>
      </w:pPr>
      <w:r>
        <w:rPr>
          <w:rFonts w:hint="eastAsia" w:ascii="仿宋" w:hAnsi="仿宋" w:eastAsia="仿宋" w:cs="仿宋"/>
          <w:sz w:val="32"/>
          <w:szCs w:val="32"/>
        </w:rPr>
        <w:t>建立信息公开保密审查制度，按照“谁提供、谁审核、谁公开”的原则，政务公开信息先由各处室、部门负责人对内容和保密性进行把关审查，最后经分管领导审核后由处室发布到门户网站上</w:t>
      </w:r>
      <w:r>
        <w:rPr>
          <w:rFonts w:hint="default" w:ascii="仿宋" w:hAnsi="仿宋" w:eastAsia="仿宋" w:cs="仿宋"/>
          <w:sz w:val="32"/>
          <w:szCs w:val="32"/>
        </w:rPr>
        <w:t>。</w:t>
      </w:r>
      <w:r>
        <w:rPr>
          <w:rFonts w:ascii="仿宋" w:hAnsi="仿宋" w:eastAsia="仿宋" w:cs="仿宋"/>
          <w:sz w:val="32"/>
          <w:szCs w:val="32"/>
        </w:rPr>
        <w:t>在</w:t>
      </w:r>
      <w:r>
        <w:rPr>
          <w:rFonts w:hint="eastAsia" w:ascii="仿宋" w:hAnsi="仿宋" w:eastAsia="仿宋" w:cs="仿宋"/>
          <w:sz w:val="32"/>
          <w:szCs w:val="32"/>
        </w:rPr>
        <w:t>监督考核</w:t>
      </w:r>
      <w:r>
        <w:rPr>
          <w:rFonts w:ascii="仿宋" w:hAnsi="仿宋" w:eastAsia="仿宋" w:cs="仿宋"/>
          <w:sz w:val="32"/>
          <w:szCs w:val="32"/>
        </w:rPr>
        <w:t>方面，</w:t>
      </w:r>
      <w:r>
        <w:rPr>
          <w:rFonts w:hint="eastAsia" w:ascii="仿宋" w:hAnsi="仿宋" w:eastAsia="仿宋" w:cs="仿宋"/>
          <w:sz w:val="32"/>
          <w:szCs w:val="32"/>
        </w:rPr>
        <w:t>细化政务公开考核工作方案，加大对各职能部门及负责人、政务公开工作小组成员的考核力度。将考核结果与绩效奖金、干部人事提拔挂钩，督促工作开展、提升工作效率。</w:t>
      </w:r>
      <w:r>
        <w:rPr>
          <w:rFonts w:hint="eastAsia" w:ascii="仿宋" w:hAnsi="仿宋" w:eastAsia="仿宋" w:cs="仿宋"/>
          <w:color w:val="000101"/>
          <w:kern w:val="0"/>
          <w:sz w:val="32"/>
          <w:szCs w:val="32"/>
        </w:rPr>
        <w:t>完善群众投诉受理机制，开通政风、行风热线，接受群众咨询，回答群众提问，解决群众诉求。开通社会监督绿色通道，健全激励和问责机制，坚决避免政务公开流于形式，确保各项工作落到实处。</w:t>
      </w:r>
    </w:p>
    <w:p>
      <w:pPr>
        <w:pStyle w:val="2"/>
        <w:rPr>
          <w:rFonts w:hint="default"/>
        </w:rPr>
      </w:pPr>
    </w:p>
    <w:p>
      <w:pPr>
        <w:widowControl/>
        <w:numPr>
          <w:ilvl w:val="0"/>
          <w:numId w:val="2"/>
        </w:numPr>
        <w:shd w:val="clear" w:color="auto" w:fill="FFFFFF"/>
        <w:spacing w:line="560" w:lineRule="exact"/>
        <w:ind w:firstLine="640" w:firstLineChars="200"/>
        <w:rPr>
          <w:rFonts w:hint="eastAsia" w:ascii="黑体" w:hAnsi="黑体" w:eastAsia="黑体" w:cs="宋体"/>
          <w:bCs/>
          <w:color w:val="333333"/>
          <w:kern w:val="0"/>
          <w:sz w:val="32"/>
          <w:szCs w:val="32"/>
        </w:rPr>
      </w:pPr>
      <w:r>
        <w:rPr>
          <w:rFonts w:hint="eastAsia" w:ascii="黑体" w:hAnsi="黑体" w:eastAsia="黑体" w:cs="宋体"/>
          <w:bCs/>
          <w:color w:val="333333"/>
          <w:kern w:val="0"/>
          <w:sz w:val="32"/>
          <w:szCs w:val="32"/>
        </w:rPr>
        <w:t>主动公开政府信息情况</w:t>
      </w:r>
    </w:p>
    <w:p>
      <w:pPr>
        <w:widowControl/>
        <w:numPr>
          <w:ilvl w:val="0"/>
          <w:numId w:val="0"/>
        </w:numPr>
        <w:shd w:val="clear" w:color="auto" w:fill="FFFFFF"/>
        <w:spacing w:line="560" w:lineRule="exact"/>
        <w:rPr>
          <w:rFonts w:hint="eastAsia" w:ascii="黑体" w:hAnsi="黑体" w:eastAsia="黑体" w:cs="宋体"/>
          <w:bCs/>
          <w:color w:val="333333"/>
          <w:kern w:val="0"/>
          <w:sz w:val="32"/>
          <w:szCs w:val="32"/>
        </w:rPr>
      </w:pPr>
    </w:p>
    <w:tbl>
      <w:tblPr>
        <w:tblStyle w:val="4"/>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kern w:val="0"/>
                <w:sz w:val="24"/>
                <w:szCs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kern w:val="0"/>
                <w:sz w:val="24"/>
                <w:szCs w:val="24"/>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kern w:val="0"/>
                <w:sz w:val="24"/>
                <w:szCs w:val="24"/>
              </w:rPr>
              <w:t>0</w:t>
            </w:r>
          </w:p>
        </w:tc>
      </w:tr>
      <w:tr>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宋体" w:hAnsi="宋体" w:eastAsia="宋体" w:cs="宋体"/>
                <w:color w:val="000000"/>
                <w:kern w:val="0"/>
                <w:sz w:val="20"/>
                <w:szCs w:val="20"/>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20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71.64万</w:t>
            </w:r>
            <w:bookmarkStart w:id="0" w:name="_GoBack"/>
            <w:bookmarkEnd w:id="0"/>
            <w:r>
              <w:rPr>
                <w:rFonts w:hint="eastAsia" w:ascii="宋体" w:hAnsi="宋体" w:eastAsia="宋体" w:cs="宋体"/>
                <w:kern w:val="0"/>
                <w:sz w:val="24"/>
                <w:szCs w:val="24"/>
              </w:rPr>
              <w:t>元</w:t>
            </w:r>
          </w:p>
        </w:tc>
      </w:tr>
    </w:tbl>
    <w:p/>
    <w:p>
      <w:pPr>
        <w:widowControl/>
        <w:numPr>
          <w:ilvl w:val="0"/>
          <w:numId w:val="3"/>
        </w:numPr>
        <w:shd w:val="clear" w:color="auto" w:fill="FFFFFF"/>
        <w:spacing w:line="560" w:lineRule="exact"/>
        <w:ind w:firstLine="640" w:firstLineChars="200"/>
        <w:rPr>
          <w:rFonts w:hint="eastAsia" w:ascii="黑体" w:hAnsi="黑体" w:eastAsia="黑体" w:cs="宋体"/>
          <w:bCs/>
          <w:color w:val="333333"/>
          <w:kern w:val="0"/>
          <w:sz w:val="32"/>
          <w:szCs w:val="32"/>
        </w:rPr>
      </w:pPr>
      <w:r>
        <w:rPr>
          <w:rFonts w:hint="eastAsia" w:ascii="黑体" w:hAnsi="黑体" w:eastAsia="黑体" w:cs="宋体"/>
          <w:bCs/>
          <w:color w:val="333333"/>
          <w:kern w:val="0"/>
          <w:sz w:val="32"/>
          <w:szCs w:val="32"/>
        </w:rPr>
        <w:t>收到和处理政府信息公开申请情况</w:t>
      </w:r>
    </w:p>
    <w:p>
      <w:pPr>
        <w:widowControl/>
        <w:numPr>
          <w:ilvl w:val="0"/>
          <w:numId w:val="0"/>
        </w:numPr>
        <w:shd w:val="clear" w:color="auto" w:fill="FFFFFF"/>
        <w:spacing w:line="560" w:lineRule="exact"/>
        <w:rPr>
          <w:rFonts w:hint="eastAsia" w:ascii="黑体" w:hAnsi="黑体" w:eastAsia="黑体" w:cs="宋体"/>
          <w:bCs/>
          <w:color w:val="333333"/>
          <w:kern w:val="0"/>
          <w:sz w:val="32"/>
          <w:szCs w:val="32"/>
        </w:rPr>
      </w:pPr>
    </w:p>
    <w:tbl>
      <w:tblPr>
        <w:tblStyle w:val="4"/>
        <w:tblW w:w="9071" w:type="dxa"/>
        <w:jc w:val="cente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bl>
    <w:p/>
    <w:p>
      <w:pPr>
        <w:widowControl/>
        <w:numPr>
          <w:ilvl w:val="0"/>
          <w:numId w:val="4"/>
        </w:numPr>
        <w:shd w:val="clear" w:color="auto" w:fill="FFFFFF"/>
        <w:spacing w:line="560" w:lineRule="exact"/>
        <w:ind w:firstLine="640" w:firstLineChars="200"/>
        <w:rPr>
          <w:rFonts w:hint="eastAsia" w:ascii="黑体" w:hAnsi="黑体" w:eastAsia="黑体" w:cs="宋体"/>
          <w:bCs/>
          <w:color w:val="333333"/>
          <w:kern w:val="0"/>
          <w:sz w:val="32"/>
          <w:szCs w:val="32"/>
        </w:rPr>
      </w:pPr>
      <w:r>
        <w:rPr>
          <w:rFonts w:hint="eastAsia" w:ascii="黑体" w:hAnsi="黑体" w:eastAsia="黑体" w:cs="宋体"/>
          <w:bCs/>
          <w:color w:val="333333"/>
          <w:kern w:val="0"/>
          <w:sz w:val="32"/>
          <w:szCs w:val="32"/>
        </w:rPr>
        <w:t>政府信息公开行政复议、行政诉讼情况</w:t>
      </w:r>
    </w:p>
    <w:p>
      <w:pPr>
        <w:widowControl/>
        <w:numPr>
          <w:ilvl w:val="0"/>
          <w:numId w:val="0"/>
        </w:numPr>
        <w:shd w:val="clear" w:color="auto" w:fill="FFFFFF"/>
        <w:spacing w:line="560" w:lineRule="exact"/>
        <w:rPr>
          <w:rFonts w:hint="eastAsia" w:ascii="黑体" w:hAnsi="黑体" w:eastAsia="黑体" w:cs="宋体"/>
          <w:bCs/>
          <w:color w:val="333333"/>
          <w:kern w:val="0"/>
          <w:sz w:val="32"/>
          <w:szCs w:val="32"/>
        </w:rPr>
      </w:pPr>
    </w:p>
    <w:tbl>
      <w:tblPr>
        <w:tblStyle w:val="4"/>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r>
              <w:rPr>
                <w:rFonts w:ascii="Calibri" w:hAnsi="Calibri" w:eastAsia="宋体" w:cs="Calibri"/>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ascii="Calibri" w:hAnsi="Calibri" w:eastAsia="宋体" w:cs="Calibri"/>
                <w:kern w:val="0"/>
                <w:sz w:val="20"/>
                <w:szCs w:val="20"/>
              </w:rPr>
              <w:t> </w:t>
            </w:r>
            <w:r>
              <w:rPr>
                <w:rFonts w:hint="default"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ascii="Calibri" w:hAnsi="Calibri" w:eastAsia="宋体" w:cs="Calibri"/>
                <w:kern w:val="0"/>
                <w:sz w:val="20"/>
                <w:szCs w:val="20"/>
              </w:rPr>
              <w:t> </w:t>
            </w:r>
            <w:r>
              <w:rPr>
                <w:rFonts w:hint="default"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r>
              <w:rPr>
                <w:rFonts w:ascii="Calibri" w:hAnsi="Calibri" w:eastAsia="宋体" w:cs="Calibri"/>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Calibri" w:hAnsi="Calibri" w:eastAsia="宋体" w:cs="Calibri"/>
                <w:kern w:val="0"/>
                <w:sz w:val="20"/>
                <w:szCs w:val="20"/>
              </w:rPr>
              <w:t>0</w:t>
            </w:r>
            <w:r>
              <w:rPr>
                <w:rFonts w:ascii="Calibri" w:hAnsi="Calibri" w:eastAsia="宋体" w:cs="Calibri"/>
                <w:kern w:val="0"/>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宋体" w:hAnsi="宋体" w:eastAsia="宋体" w:cs="宋体"/>
                <w:kern w:val="0"/>
                <w:sz w:val="20"/>
                <w:szCs w:val="20"/>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 </w:t>
            </w:r>
            <w:r>
              <w:rPr>
                <w:rFonts w:hint="default"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 </w:t>
            </w:r>
            <w:r>
              <w:rPr>
                <w:rFonts w:hint="default"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宋体" w:hAnsi="宋体" w:eastAsia="宋体" w:cs="宋体"/>
                <w:kern w:val="0"/>
                <w:sz w:val="20"/>
                <w:szCs w:val="20"/>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 </w:t>
            </w:r>
            <w:r>
              <w:rPr>
                <w:rFonts w:hint="default"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宋体" w:hAnsi="宋体" w:eastAsia="宋体" w:cs="宋体"/>
                <w:kern w:val="0"/>
                <w:sz w:val="20"/>
                <w:szCs w:val="20"/>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default" w:ascii="宋体" w:hAnsi="宋体" w:eastAsia="宋体" w:cs="宋体"/>
                <w:kern w:val="0"/>
                <w:sz w:val="20"/>
                <w:szCs w:val="20"/>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 </w:t>
            </w:r>
            <w:r>
              <w:rPr>
                <w:rFonts w:hint="default" w:ascii="宋体" w:hAnsi="宋体" w:eastAsia="宋体" w:cs="宋体"/>
                <w:color w:val="000000"/>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 </w:t>
            </w:r>
            <w:r>
              <w:rPr>
                <w:rFonts w:hint="default" w:ascii="宋体" w:hAnsi="宋体" w:eastAsia="宋体"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default" w:ascii="Calibri" w:hAnsi="Calibri" w:eastAsia="宋体" w:cs="Calibri"/>
                <w:kern w:val="0"/>
                <w:sz w:val="20"/>
                <w:szCs w:val="20"/>
              </w:rPr>
              <w:t>0</w:t>
            </w:r>
          </w:p>
        </w:tc>
      </w:tr>
    </w:tbl>
    <w:p>
      <w:pPr>
        <w:rPr>
          <w:rFonts w:hint="eastAsia" w:ascii="黑体" w:hAnsi="黑体" w:eastAsia="黑体" w:cs="宋体"/>
          <w:bCs/>
          <w:color w:val="333333"/>
          <w:kern w:val="0"/>
          <w:sz w:val="32"/>
          <w:szCs w:val="32"/>
        </w:rPr>
      </w:pPr>
    </w:p>
    <w:p>
      <w:pPr>
        <w:numPr>
          <w:ilvl w:val="0"/>
          <w:numId w:val="4"/>
        </w:numPr>
        <w:ind w:left="0" w:leftChars="0" w:firstLine="640" w:firstLineChars="200"/>
        <w:rPr>
          <w:rFonts w:hint="eastAsia" w:ascii="黑体" w:hAnsi="黑体" w:eastAsia="黑体" w:cs="宋体"/>
          <w:bCs/>
          <w:color w:val="333333"/>
          <w:kern w:val="0"/>
          <w:sz w:val="32"/>
          <w:szCs w:val="32"/>
        </w:rPr>
      </w:pPr>
      <w:r>
        <w:rPr>
          <w:rFonts w:hint="eastAsia" w:ascii="黑体" w:hAnsi="黑体" w:eastAsia="黑体" w:cs="宋体"/>
          <w:bCs/>
          <w:color w:val="333333"/>
          <w:kern w:val="0"/>
          <w:sz w:val="32"/>
          <w:szCs w:val="32"/>
        </w:rPr>
        <w:t>存在的主要问题及改进情况</w:t>
      </w:r>
    </w:p>
    <w:p>
      <w:pPr>
        <w:numPr>
          <w:ilvl w:val="0"/>
          <w:numId w:val="0"/>
        </w:numPr>
        <w:ind w:firstLine="640" w:firstLineChars="200"/>
        <w:rPr>
          <w:rFonts w:hint="default" w:ascii="仿宋_GB2312" w:hAnsi="宋体" w:eastAsia="仿宋_GB2312" w:cs="宋体"/>
          <w:color w:val="333333"/>
          <w:kern w:val="0"/>
          <w:sz w:val="32"/>
          <w:szCs w:val="32"/>
        </w:rPr>
      </w:pPr>
      <w:r>
        <w:rPr>
          <w:rFonts w:hint="default" w:ascii="仿宋_GB2312" w:hAnsi="宋体" w:eastAsia="仿宋_GB2312" w:cs="宋体"/>
          <w:color w:val="333333"/>
          <w:kern w:val="0"/>
          <w:sz w:val="32"/>
          <w:szCs w:val="32"/>
        </w:rPr>
        <w:t>2020年我局在政府信息公开工作上加强了规范操作，也取得了部分成效，但是通过自查我们也发现了一些不足之处，明年政府信息公开工作将会从以下几个方面作出改进：一是努力加强政府信息公开工作的业务知识培训工作。二是进一步做到政府信息公开工作常态化。三是丰富公开形式，尽量以文字配合图表解说的形式向群众进行展示。</w:t>
      </w:r>
    </w:p>
    <w:p>
      <w:pPr>
        <w:widowControl/>
        <w:numPr>
          <w:ilvl w:val="0"/>
          <w:numId w:val="4"/>
        </w:numPr>
        <w:shd w:val="clear" w:color="auto" w:fill="FFFFFF"/>
        <w:spacing w:line="560" w:lineRule="exact"/>
        <w:ind w:left="0" w:leftChars="0" w:firstLine="640" w:firstLineChars="200"/>
        <w:rPr>
          <w:rFonts w:hint="eastAsia" w:ascii="黑体" w:hAnsi="黑体" w:eastAsia="黑体" w:cs="宋体"/>
          <w:bCs/>
          <w:color w:val="333333"/>
          <w:kern w:val="0"/>
          <w:sz w:val="32"/>
          <w:szCs w:val="32"/>
        </w:rPr>
      </w:pPr>
      <w:r>
        <w:rPr>
          <w:rFonts w:hint="eastAsia" w:ascii="黑体" w:hAnsi="黑体" w:eastAsia="黑体" w:cs="宋体"/>
          <w:bCs/>
          <w:color w:val="333333"/>
          <w:kern w:val="0"/>
          <w:sz w:val="32"/>
          <w:szCs w:val="32"/>
        </w:rPr>
        <w:t>其他需要报告的事项</w:t>
      </w:r>
    </w:p>
    <w:p>
      <w:pPr>
        <w:numPr>
          <w:ilvl w:val="0"/>
          <w:numId w:val="0"/>
        </w:numPr>
        <w:ind w:firstLine="640" w:firstLineChars="200"/>
        <w:rPr>
          <w:rFonts w:hint="default" w:ascii="仿宋_GB2312" w:hAnsi="宋体" w:eastAsia="仿宋_GB2312" w:cs="宋体"/>
          <w:color w:val="333333"/>
          <w:kern w:val="0"/>
          <w:sz w:val="32"/>
          <w:szCs w:val="32"/>
        </w:rPr>
      </w:pPr>
      <w:r>
        <w:rPr>
          <w:rFonts w:hint="default" w:ascii="仿宋_GB2312" w:hAnsi="宋体" w:eastAsia="仿宋_GB2312" w:cs="宋体"/>
          <w:color w:val="333333"/>
          <w:kern w:val="0"/>
          <w:sz w:val="32"/>
          <w:szCs w:val="32"/>
        </w:rPr>
        <w:t>无</w:t>
      </w:r>
    </w:p>
    <w:p>
      <w:pPr>
        <w:pStyle w:val="2"/>
        <w:rPr>
          <w:rFonts w:hint="default" w:ascii="仿宋_GB2312" w:hAnsi="宋体" w:eastAsia="仿宋_GB2312" w:cs="宋体"/>
          <w:color w:val="333333"/>
          <w:kern w:val="0"/>
          <w:sz w:val="32"/>
          <w:szCs w:val="32"/>
        </w:rPr>
      </w:pPr>
    </w:p>
    <w:p>
      <w:pPr>
        <w:pStyle w:val="2"/>
        <w:rPr>
          <w:rFonts w:hint="default" w:ascii="仿宋_GB2312" w:hAnsi="宋体" w:eastAsia="仿宋_GB2312" w:cs="宋体"/>
          <w:color w:val="333333"/>
          <w:kern w:val="0"/>
          <w:sz w:val="32"/>
          <w:szCs w:val="32"/>
        </w:rPr>
      </w:pPr>
    </w:p>
    <w:p>
      <w:pPr>
        <w:pStyle w:val="2"/>
        <w:jc w:val="right"/>
        <w:rPr>
          <w:rFonts w:hint="default" w:ascii="仿宋_GB2312" w:hAnsi="宋体" w:eastAsia="仿宋_GB2312" w:cs="宋体"/>
          <w:color w:val="333333"/>
          <w:kern w:val="0"/>
          <w:sz w:val="32"/>
          <w:szCs w:val="32"/>
        </w:rPr>
      </w:pPr>
    </w:p>
    <w:p>
      <w:pPr>
        <w:numPr>
          <w:ilvl w:val="0"/>
          <w:numId w:val="0"/>
        </w:numPr>
        <w:jc w:val="right"/>
        <w:rPr>
          <w:rFonts w:hint="default" w:ascii="仿宋_GB2312" w:hAnsi="宋体" w:eastAsia="仿宋_GB2312" w:cs="宋体"/>
          <w:color w:val="333333"/>
          <w:kern w:val="0"/>
          <w:sz w:val="32"/>
          <w:szCs w:val="32"/>
        </w:rPr>
      </w:pPr>
      <w:r>
        <w:rPr>
          <w:rFonts w:hint="default" w:ascii="仿宋_GB2312" w:hAnsi="宋体" w:eastAsia="仿宋_GB2312" w:cs="宋体"/>
          <w:color w:val="333333"/>
          <w:kern w:val="0"/>
          <w:sz w:val="32"/>
          <w:szCs w:val="32"/>
        </w:rPr>
        <w:t xml:space="preserve">                               拱墅区退役军人事务局</w:t>
      </w:r>
    </w:p>
    <w:p>
      <w:pPr>
        <w:numPr>
          <w:ilvl w:val="0"/>
          <w:numId w:val="0"/>
        </w:numPr>
        <w:ind w:firstLine="5600" w:firstLineChars="1750"/>
        <w:jc w:val="right"/>
        <w:rPr>
          <w:rFonts w:hint="default" w:ascii="仿宋_GB2312" w:hAnsi="宋体" w:eastAsia="仿宋_GB2312" w:cs="宋体"/>
          <w:color w:val="333333"/>
          <w:kern w:val="0"/>
          <w:sz w:val="32"/>
          <w:szCs w:val="32"/>
        </w:rPr>
      </w:pPr>
      <w:r>
        <w:rPr>
          <w:rFonts w:hint="default" w:ascii="仿宋_GB2312" w:hAnsi="宋体" w:eastAsia="仿宋_GB2312" w:cs="宋体"/>
          <w:color w:val="333333"/>
          <w:kern w:val="0"/>
          <w:sz w:val="32"/>
          <w:szCs w:val="32"/>
        </w:rPr>
        <w:t>2021年1月22日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B9CF1E"/>
    <w:multiLevelType w:val="singleLevel"/>
    <w:tmpl w:val="9DB9CF1E"/>
    <w:lvl w:ilvl="0" w:tentative="0">
      <w:start w:val="2"/>
      <w:numFmt w:val="chineseCounting"/>
      <w:suff w:val="nothing"/>
      <w:lvlText w:val="%1、"/>
      <w:lvlJc w:val="left"/>
      <w:rPr>
        <w:rFonts w:hint="eastAsia"/>
      </w:rPr>
    </w:lvl>
  </w:abstractNum>
  <w:abstractNum w:abstractNumId="1">
    <w:nsid w:val="BDEFFE90"/>
    <w:multiLevelType w:val="singleLevel"/>
    <w:tmpl w:val="BDEFFE90"/>
    <w:lvl w:ilvl="0" w:tentative="0">
      <w:start w:val="3"/>
      <w:numFmt w:val="chineseCounting"/>
      <w:suff w:val="nothing"/>
      <w:lvlText w:val="%1、"/>
      <w:lvlJc w:val="left"/>
      <w:rPr>
        <w:rFonts w:hint="eastAsia"/>
      </w:rPr>
    </w:lvl>
  </w:abstractNum>
  <w:abstractNum w:abstractNumId="2">
    <w:nsid w:val="FA671BC0"/>
    <w:multiLevelType w:val="singleLevel"/>
    <w:tmpl w:val="FA671BC0"/>
    <w:lvl w:ilvl="0" w:tentative="0">
      <w:start w:val="4"/>
      <w:numFmt w:val="chineseCounting"/>
      <w:suff w:val="nothing"/>
      <w:lvlText w:val="%1、"/>
      <w:lvlJc w:val="left"/>
      <w:rPr>
        <w:rFonts w:hint="eastAsia"/>
      </w:rPr>
    </w:lvl>
  </w:abstractNum>
  <w:abstractNum w:abstractNumId="3">
    <w:nsid w:val="FFFF0BAB"/>
    <w:multiLevelType w:val="singleLevel"/>
    <w:tmpl w:val="FFFF0BAB"/>
    <w:lvl w:ilvl="0" w:tentative="0">
      <w:start w:val="4"/>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DD27A"/>
    <w:rsid w:val="1BFEF138"/>
    <w:rsid w:val="344A2A99"/>
    <w:rsid w:val="36D7B367"/>
    <w:rsid w:val="3C7ECD94"/>
    <w:rsid w:val="5FEB55B5"/>
    <w:rsid w:val="6A433EC8"/>
    <w:rsid w:val="6C3E0EEF"/>
    <w:rsid w:val="7BC666D0"/>
    <w:rsid w:val="7C7DD27A"/>
    <w:rsid w:val="9BFE9DCB"/>
    <w:rsid w:val="B9F133A0"/>
    <w:rsid w:val="BBEEA574"/>
    <w:rsid w:val="BFF98A60"/>
    <w:rsid w:val="DFBF0032"/>
    <w:rsid w:val="EDDC21BC"/>
    <w:rsid w:val="FFCF6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x-none" altLang="zh-CN"/>
              <a:t>2020年度区退役军人局主动公开信息比例</a:t>
            </a:r>
            <a:endParaRPr lang="x-none" altLang="zh-CN"/>
          </a:p>
        </c:rich>
      </c:tx>
      <c:layout/>
      <c:overlay val="0"/>
      <c:spPr>
        <a:noFill/>
        <a:ln>
          <a:noFill/>
        </a:ln>
        <a:effectLst/>
      </c:spPr>
    </c:title>
    <c:autoTitleDeleted val="0"/>
    <c:plotArea>
      <c:layout/>
      <c:pieChart>
        <c:varyColors val="1"/>
        <c:ser>
          <c:idx val="0"/>
          <c:order val="0"/>
          <c:tx>
            <c:strRef>
              <c:f>Sheet1!$B$1</c:f>
              <c:strCache>
                <c:ptCount val="1"/>
                <c:pt idx="0">
                  <c:v>数量</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行政执法公开</c:v>
                </c:pt>
                <c:pt idx="1">
                  <c:v>资金信息</c:v>
                </c:pt>
                <c:pt idx="2">
                  <c:v>信息公开年报</c:v>
                </c:pt>
              </c:strCache>
            </c:strRef>
          </c:cat>
          <c:val>
            <c:numRef>
              <c:f>Sheet1!$B$2:$B$4</c:f>
              <c:numCache>
                <c:formatCode>General</c:formatCode>
                <c:ptCount val="3"/>
                <c:pt idx="0">
                  <c:v>4</c:v>
                </c:pt>
                <c:pt idx="1">
                  <c:v>2</c:v>
                </c:pt>
                <c:pt idx="2">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2021-01-10T03:50:00Z</dcterms:created>
  <dc:creator>greatwall</dc:creator>
  <cp:lastModifiedBy>十四松</cp:lastModifiedBy>
  <cp:lastPrinted>2021-01-19T23:36:00Z</cp:lastPrinted>
  <dcterms:modified xsi:type="dcterms:W3CDTF">2021-07-22T06:40:23Z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61934522D8F6473EAF1F52290766E4FE</vt:lpwstr>
  </property>
</Properties>
</file>