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jc w:val="center"/>
        <w:rPr>
          <w:rFonts w:ascii="宋体" w:hAnsi="宋体" w:cs="宋体"/>
          <w:kern w:val="0"/>
          <w:sz w:val="24"/>
          <w:szCs w:val="24"/>
        </w:rPr>
      </w:pPr>
      <w:r>
        <w:rPr>
          <w:rFonts w:hint="eastAsia" w:ascii="宋体" w:hAnsi="宋体" w:cs="宋体"/>
          <w:b/>
          <w:bCs/>
          <w:kern w:val="0"/>
          <w:sz w:val="36"/>
          <w:szCs w:val="36"/>
          <w:lang w:val="en-US" w:eastAsia="zh-CN"/>
        </w:rPr>
        <w:t>2022年度区住建局</w:t>
      </w:r>
      <w:r>
        <w:rPr>
          <w:rFonts w:hint="eastAsia" w:ascii="宋体" w:hAnsi="宋体" w:cs="宋体"/>
          <w:b/>
          <w:bCs/>
          <w:kern w:val="0"/>
          <w:sz w:val="36"/>
          <w:szCs w:val="36"/>
        </w:rPr>
        <w:t>政府信息公开工作年度报告</w:t>
      </w:r>
    </w:p>
    <w:p>
      <w:pPr>
        <w:widowControl/>
        <w:spacing w:line="432" w:lineRule="auto"/>
        <w:ind w:firstLine="480"/>
        <w:rPr>
          <w:rFonts w:ascii="宋体" w:hAnsi="宋体" w:cs="宋体"/>
          <w:kern w:val="0"/>
          <w:sz w:val="24"/>
          <w:szCs w:val="24"/>
        </w:rPr>
      </w:pPr>
    </w:p>
    <w:p>
      <w:pPr>
        <w:widowControl/>
        <w:spacing w:line="432" w:lineRule="auto"/>
        <w:ind w:firstLine="480"/>
        <w:rPr>
          <w:rFonts w:ascii="宋体" w:hAnsi="宋体" w:cs="宋体"/>
          <w:kern w:val="0"/>
          <w:sz w:val="24"/>
          <w:szCs w:val="24"/>
        </w:rPr>
      </w:pPr>
      <w:r>
        <w:rPr>
          <w:rFonts w:hint="eastAsia" w:ascii="宋体" w:hAnsi="宋体" w:cs="宋体"/>
          <w:b/>
          <w:bCs/>
          <w:kern w:val="0"/>
          <w:sz w:val="24"/>
          <w:szCs w:val="24"/>
        </w:rPr>
        <w:t>一、总体情况</w:t>
      </w:r>
    </w:p>
    <w:p>
      <w:pPr>
        <w:widowControl/>
        <w:spacing w:line="432" w:lineRule="auto"/>
        <w:ind w:firstLine="480"/>
        <w:rPr>
          <w:rFonts w:hint="eastAsia" w:ascii="宋体" w:hAnsi="宋体" w:cs="宋体"/>
          <w:kern w:val="0"/>
          <w:sz w:val="24"/>
          <w:szCs w:val="24"/>
        </w:rPr>
      </w:pPr>
      <w:r>
        <w:rPr>
          <w:rFonts w:hint="eastAsia" w:ascii="宋体" w:hAnsi="宋体" w:cs="宋体"/>
          <w:kern w:val="0"/>
          <w:sz w:val="24"/>
          <w:szCs w:val="24"/>
        </w:rPr>
        <w:t>202</w:t>
      </w:r>
      <w:r>
        <w:rPr>
          <w:rFonts w:hint="eastAsia" w:ascii="宋体" w:hAnsi="宋体" w:cs="宋体"/>
          <w:kern w:val="0"/>
          <w:sz w:val="24"/>
          <w:szCs w:val="24"/>
          <w:lang w:val="en-US" w:eastAsia="zh-CN"/>
        </w:rPr>
        <w:t>2</w:t>
      </w:r>
      <w:r>
        <w:rPr>
          <w:rFonts w:hint="eastAsia" w:ascii="宋体" w:hAnsi="宋体" w:cs="宋体"/>
          <w:kern w:val="0"/>
          <w:sz w:val="24"/>
          <w:szCs w:val="24"/>
        </w:rPr>
        <w:t>年我局严格按照《中华人民共和国政府信息公开条例》和上级部门的要求，认真做好政务信息公开工作，依法主动公开各类政务信息。</w:t>
      </w:r>
    </w:p>
    <w:p>
      <w:pPr>
        <w:widowControl/>
        <w:spacing w:line="432" w:lineRule="auto"/>
        <w:ind w:firstLine="480"/>
        <w:rPr>
          <w:rFonts w:hint="eastAsia" w:ascii="宋体" w:hAnsi="宋体" w:cs="宋体"/>
          <w:kern w:val="0"/>
          <w:sz w:val="24"/>
          <w:szCs w:val="24"/>
        </w:rPr>
      </w:pPr>
      <w:r>
        <w:rPr>
          <w:rFonts w:hint="eastAsia" w:ascii="宋体" w:hAnsi="宋体" w:cs="宋体"/>
          <w:kern w:val="0"/>
          <w:sz w:val="24"/>
          <w:szCs w:val="24"/>
        </w:rPr>
        <w:t>（一）主动公开情况</w:t>
      </w:r>
    </w:p>
    <w:p>
      <w:pPr>
        <w:widowControl/>
        <w:spacing w:line="432" w:lineRule="auto"/>
        <w:ind w:firstLine="480"/>
        <w:rPr>
          <w:rFonts w:hint="eastAsia" w:ascii="宋体" w:hAnsi="宋体" w:cs="宋体"/>
          <w:kern w:val="0"/>
          <w:sz w:val="24"/>
          <w:szCs w:val="24"/>
          <w:highlight w:val="none"/>
        </w:rPr>
      </w:pPr>
      <w:r>
        <w:rPr>
          <w:rFonts w:hint="eastAsia" w:ascii="宋体" w:hAnsi="宋体" w:cs="宋体"/>
          <w:kern w:val="0"/>
          <w:sz w:val="24"/>
          <w:szCs w:val="24"/>
          <w:highlight w:val="none"/>
        </w:rPr>
        <w:t>202</w:t>
      </w:r>
      <w:r>
        <w:rPr>
          <w:rFonts w:hint="eastAsia" w:ascii="宋体" w:hAnsi="宋体" w:cs="宋体"/>
          <w:kern w:val="0"/>
          <w:sz w:val="24"/>
          <w:szCs w:val="24"/>
          <w:highlight w:val="none"/>
          <w:lang w:val="en-US" w:eastAsia="zh-CN"/>
        </w:rPr>
        <w:t>2</w:t>
      </w:r>
      <w:r>
        <w:rPr>
          <w:rFonts w:hint="eastAsia" w:ascii="宋体" w:hAnsi="宋体" w:cs="宋体"/>
          <w:kern w:val="0"/>
          <w:sz w:val="24"/>
          <w:szCs w:val="24"/>
          <w:highlight w:val="none"/>
        </w:rPr>
        <w:t>年我局以拱墅区政府信息公开网站为平台，共发布公开信息</w:t>
      </w:r>
      <w:r>
        <w:rPr>
          <w:rFonts w:hint="eastAsia" w:ascii="宋体" w:hAnsi="宋体" w:cs="宋体"/>
          <w:kern w:val="0"/>
          <w:sz w:val="24"/>
          <w:szCs w:val="24"/>
          <w:highlight w:val="none"/>
          <w:lang w:val="en-US" w:eastAsia="zh-CN"/>
        </w:rPr>
        <w:t>76</w:t>
      </w:r>
      <w:r>
        <w:rPr>
          <w:rFonts w:hint="eastAsia" w:ascii="宋体" w:hAnsi="宋体" w:cs="宋体"/>
          <w:kern w:val="0"/>
          <w:sz w:val="24"/>
          <w:szCs w:val="24"/>
          <w:highlight w:val="none"/>
        </w:rPr>
        <w:t>条，其中</w:t>
      </w:r>
      <w:r>
        <w:rPr>
          <w:rFonts w:hint="eastAsia" w:ascii="宋体" w:hAnsi="宋体" w:cs="宋体"/>
          <w:kern w:val="0"/>
          <w:sz w:val="24"/>
          <w:szCs w:val="24"/>
          <w:highlight w:val="none"/>
          <w:lang w:eastAsia="zh-CN"/>
        </w:rPr>
        <w:t>行政执法公开</w:t>
      </w:r>
      <w:r>
        <w:rPr>
          <w:rFonts w:hint="eastAsia" w:ascii="宋体" w:hAnsi="宋体" w:cs="宋体"/>
          <w:kern w:val="0"/>
          <w:sz w:val="24"/>
          <w:szCs w:val="24"/>
          <w:highlight w:val="none"/>
          <w:lang w:val="en-US" w:eastAsia="zh-CN"/>
        </w:rPr>
        <w:t>45条，</w:t>
      </w:r>
      <w:r>
        <w:rPr>
          <w:rFonts w:hint="eastAsia" w:ascii="宋体" w:hAnsi="宋体" w:cs="宋体"/>
          <w:kern w:val="0"/>
          <w:sz w:val="24"/>
          <w:szCs w:val="24"/>
          <w:highlight w:val="none"/>
        </w:rPr>
        <w:t>人事任免公告</w:t>
      </w:r>
      <w:r>
        <w:rPr>
          <w:rFonts w:hint="eastAsia" w:ascii="宋体" w:hAnsi="宋体" w:cs="宋体"/>
          <w:kern w:val="0"/>
          <w:sz w:val="24"/>
          <w:szCs w:val="24"/>
          <w:highlight w:val="none"/>
          <w:lang w:val="en-US" w:eastAsia="zh-CN"/>
        </w:rPr>
        <w:t>7</w:t>
      </w:r>
      <w:r>
        <w:rPr>
          <w:rFonts w:hint="eastAsia" w:ascii="宋体" w:hAnsi="宋体" w:cs="宋体"/>
          <w:kern w:val="0"/>
          <w:sz w:val="24"/>
          <w:szCs w:val="24"/>
          <w:highlight w:val="none"/>
        </w:rPr>
        <w:t>条，区住建局文件</w:t>
      </w: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rPr>
        <w:t>条，其他各类信息</w:t>
      </w:r>
      <w:r>
        <w:rPr>
          <w:rFonts w:hint="eastAsia" w:ascii="宋体" w:hAnsi="宋体" w:cs="宋体"/>
          <w:kern w:val="0"/>
          <w:sz w:val="24"/>
          <w:szCs w:val="24"/>
          <w:highlight w:val="none"/>
          <w:lang w:val="en-US" w:eastAsia="zh-CN"/>
        </w:rPr>
        <w:t>20</w:t>
      </w:r>
      <w:r>
        <w:rPr>
          <w:rFonts w:hint="eastAsia" w:ascii="宋体" w:hAnsi="宋体" w:cs="宋体"/>
          <w:kern w:val="0"/>
          <w:sz w:val="24"/>
          <w:szCs w:val="24"/>
          <w:highlight w:val="none"/>
        </w:rPr>
        <w:t>条。</w:t>
      </w:r>
    </w:p>
    <w:p>
      <w:pPr>
        <w:widowControl/>
        <w:spacing w:line="432" w:lineRule="auto"/>
        <w:ind w:firstLine="480"/>
        <w:rPr>
          <w:rFonts w:hint="eastAsia" w:ascii="宋体" w:hAnsi="宋体" w:cs="宋体"/>
          <w:kern w:val="0"/>
          <w:sz w:val="24"/>
          <w:szCs w:val="24"/>
        </w:rPr>
      </w:pPr>
      <w:r>
        <w:rPr>
          <w:rFonts w:hint="eastAsia" w:ascii="宋体" w:hAnsi="宋体" w:cs="宋体"/>
          <w:kern w:val="0"/>
          <w:sz w:val="24"/>
          <w:szCs w:val="24"/>
        </w:rPr>
        <w:t>（二）依申请公开情况</w:t>
      </w:r>
    </w:p>
    <w:p>
      <w:pPr>
        <w:widowControl/>
        <w:spacing w:line="432" w:lineRule="auto"/>
        <w:ind w:firstLine="480"/>
        <w:rPr>
          <w:rFonts w:hint="eastAsia" w:ascii="宋体" w:hAnsi="宋体" w:cs="宋体"/>
          <w:kern w:val="0"/>
          <w:sz w:val="24"/>
          <w:szCs w:val="24"/>
        </w:rPr>
      </w:pPr>
      <w:r>
        <w:rPr>
          <w:rFonts w:hint="eastAsia" w:ascii="宋体" w:hAnsi="宋体" w:cs="宋体"/>
          <w:kern w:val="0"/>
          <w:sz w:val="24"/>
          <w:szCs w:val="24"/>
        </w:rPr>
        <w:t>按照“公开为原则，不公开为例外”的原则，做到“应公开尽公开”。202</w:t>
      </w:r>
      <w:r>
        <w:rPr>
          <w:rFonts w:hint="eastAsia" w:ascii="宋体" w:hAnsi="宋体" w:cs="宋体"/>
          <w:kern w:val="0"/>
          <w:sz w:val="24"/>
          <w:szCs w:val="24"/>
          <w:lang w:val="en-US" w:eastAsia="zh-CN"/>
        </w:rPr>
        <w:t>2</w:t>
      </w:r>
      <w:r>
        <w:rPr>
          <w:rFonts w:hint="eastAsia" w:ascii="宋体" w:hAnsi="宋体" w:cs="宋体"/>
          <w:kern w:val="0"/>
          <w:sz w:val="24"/>
          <w:szCs w:val="24"/>
        </w:rPr>
        <w:t>年共受理依申请公开</w:t>
      </w:r>
      <w:r>
        <w:rPr>
          <w:rFonts w:hint="eastAsia" w:ascii="宋体" w:hAnsi="宋体" w:cs="宋体"/>
          <w:kern w:val="0"/>
          <w:sz w:val="24"/>
          <w:szCs w:val="24"/>
          <w:lang w:val="en-US" w:eastAsia="zh-CN"/>
        </w:rPr>
        <w:t>158</w:t>
      </w:r>
      <w:r>
        <w:rPr>
          <w:rFonts w:hint="eastAsia" w:ascii="宋体" w:hAnsi="宋体" w:cs="宋体"/>
          <w:kern w:val="0"/>
          <w:sz w:val="24"/>
          <w:szCs w:val="24"/>
        </w:rPr>
        <w:t>件，其中本年新收</w:t>
      </w:r>
      <w:r>
        <w:rPr>
          <w:rFonts w:hint="eastAsia" w:ascii="宋体" w:hAnsi="宋体" w:cs="宋体"/>
          <w:kern w:val="0"/>
          <w:sz w:val="24"/>
          <w:szCs w:val="24"/>
          <w:lang w:val="en-US" w:eastAsia="zh-CN"/>
        </w:rPr>
        <w:t>143</w:t>
      </w:r>
      <w:r>
        <w:rPr>
          <w:rFonts w:hint="eastAsia" w:ascii="宋体" w:hAnsi="宋体" w:cs="宋体"/>
          <w:kern w:val="0"/>
          <w:sz w:val="24"/>
          <w:szCs w:val="24"/>
        </w:rPr>
        <w:t>件，上年结转</w:t>
      </w:r>
      <w:r>
        <w:rPr>
          <w:rFonts w:hint="eastAsia" w:ascii="宋体" w:hAnsi="宋体" w:cs="宋体"/>
          <w:kern w:val="0"/>
          <w:sz w:val="24"/>
          <w:szCs w:val="24"/>
          <w:lang w:val="en-US" w:eastAsia="zh-CN"/>
        </w:rPr>
        <w:t>15</w:t>
      </w:r>
      <w:r>
        <w:rPr>
          <w:rFonts w:hint="eastAsia" w:ascii="宋体" w:hAnsi="宋体" w:cs="宋体"/>
          <w:kern w:val="0"/>
          <w:sz w:val="24"/>
          <w:szCs w:val="24"/>
        </w:rPr>
        <w:t>件，结转至下年办理</w:t>
      </w:r>
      <w:r>
        <w:rPr>
          <w:rFonts w:hint="eastAsia" w:ascii="宋体" w:hAnsi="宋体" w:cs="宋体"/>
          <w:kern w:val="0"/>
          <w:sz w:val="24"/>
          <w:szCs w:val="24"/>
          <w:lang w:val="en-US" w:eastAsia="zh-CN"/>
        </w:rPr>
        <w:t>0</w:t>
      </w:r>
      <w:r>
        <w:rPr>
          <w:rFonts w:hint="eastAsia" w:ascii="宋体" w:hAnsi="宋体" w:cs="宋体"/>
          <w:kern w:val="0"/>
          <w:sz w:val="24"/>
          <w:szCs w:val="24"/>
        </w:rPr>
        <w:t>件。</w:t>
      </w:r>
      <w:bookmarkStart w:id="0" w:name="_GoBack"/>
      <w:r>
        <w:rPr>
          <w:rFonts w:hint="eastAsia" w:ascii="宋体" w:hAnsi="宋体" w:cs="宋体"/>
          <w:kern w:val="0"/>
          <w:sz w:val="24"/>
          <w:szCs w:val="24"/>
        </w:rPr>
        <w:t>本年度未发生针对我局有关政府信息公开事务的行政复议案、行政诉讼案。</w:t>
      </w:r>
    </w:p>
    <w:bookmarkEnd w:id="0"/>
    <w:p>
      <w:pPr>
        <w:widowControl/>
        <w:spacing w:line="432" w:lineRule="auto"/>
        <w:ind w:firstLine="480"/>
        <w:rPr>
          <w:rFonts w:hint="eastAsia" w:ascii="宋体" w:hAnsi="宋体" w:cs="宋体"/>
          <w:kern w:val="0"/>
          <w:sz w:val="24"/>
          <w:szCs w:val="24"/>
        </w:rPr>
      </w:pPr>
      <w:r>
        <w:rPr>
          <w:rFonts w:hint="eastAsia" w:ascii="宋体" w:hAnsi="宋体" w:cs="宋体"/>
          <w:kern w:val="0"/>
          <w:sz w:val="24"/>
          <w:szCs w:val="24"/>
        </w:rPr>
        <w:t>（三）政府信息管理</w:t>
      </w:r>
    </w:p>
    <w:p>
      <w:pPr>
        <w:widowControl/>
        <w:spacing w:line="432" w:lineRule="auto"/>
        <w:ind w:firstLine="480"/>
        <w:rPr>
          <w:rFonts w:hint="eastAsia" w:ascii="宋体" w:hAnsi="宋体" w:cs="宋体"/>
          <w:kern w:val="0"/>
          <w:sz w:val="24"/>
          <w:szCs w:val="24"/>
        </w:rPr>
      </w:pPr>
      <w:r>
        <w:rPr>
          <w:rFonts w:hint="eastAsia" w:ascii="宋体" w:hAnsi="宋体" w:cs="宋体"/>
          <w:kern w:val="0"/>
          <w:sz w:val="24"/>
          <w:szCs w:val="24"/>
        </w:rPr>
        <w:t>配合做好重点领域信息公开管理，按照标准公开重大项目的招标文件、中标公告、施工许可、竣工备案等有关内容。</w:t>
      </w:r>
    </w:p>
    <w:p>
      <w:pPr>
        <w:widowControl/>
        <w:spacing w:line="432" w:lineRule="auto"/>
        <w:ind w:firstLine="480"/>
        <w:rPr>
          <w:rFonts w:hint="eastAsia" w:ascii="宋体" w:hAnsi="宋体" w:cs="宋体"/>
          <w:kern w:val="0"/>
          <w:sz w:val="24"/>
          <w:szCs w:val="24"/>
        </w:rPr>
      </w:pPr>
      <w:r>
        <w:rPr>
          <w:rFonts w:hint="eastAsia" w:ascii="宋体" w:hAnsi="宋体" w:cs="宋体"/>
          <w:kern w:val="0"/>
          <w:sz w:val="24"/>
          <w:szCs w:val="24"/>
        </w:rPr>
        <w:t>（四）平台建设情况</w:t>
      </w:r>
    </w:p>
    <w:p>
      <w:pPr>
        <w:widowControl/>
        <w:spacing w:line="432" w:lineRule="auto"/>
        <w:ind w:firstLine="480"/>
        <w:rPr>
          <w:rFonts w:hint="eastAsia" w:ascii="宋体" w:hAnsi="宋体" w:cs="宋体"/>
          <w:kern w:val="0"/>
          <w:sz w:val="24"/>
          <w:szCs w:val="24"/>
        </w:rPr>
      </w:pPr>
      <w:r>
        <w:rPr>
          <w:rFonts w:hint="eastAsia" w:ascii="宋体" w:hAnsi="宋体" w:cs="宋体"/>
          <w:kern w:val="0"/>
          <w:sz w:val="24"/>
          <w:szCs w:val="24"/>
        </w:rPr>
        <w:t>结合浙江省政务服务网、拱墅区门户网站、微信公众号等多种公开渠道，实现政务公开、政务服务、政民互动的有机融合。着力打造微信平台，将我局重要工作部署和工作进度等信息送到群众手里，全年共推送信息约</w:t>
      </w:r>
      <w:r>
        <w:rPr>
          <w:rFonts w:hint="eastAsia" w:ascii="宋体" w:hAnsi="宋体" w:cs="宋体"/>
          <w:kern w:val="0"/>
          <w:sz w:val="24"/>
          <w:szCs w:val="24"/>
          <w:highlight w:val="none"/>
          <w:lang w:val="en-US" w:eastAsia="zh-CN"/>
        </w:rPr>
        <w:t>410</w:t>
      </w:r>
      <w:r>
        <w:rPr>
          <w:rFonts w:hint="eastAsia" w:ascii="宋体" w:hAnsi="宋体" w:cs="宋体"/>
          <w:kern w:val="0"/>
          <w:sz w:val="24"/>
          <w:szCs w:val="24"/>
        </w:rPr>
        <w:t>条。</w:t>
      </w:r>
    </w:p>
    <w:p>
      <w:pPr>
        <w:widowControl/>
        <w:spacing w:line="432" w:lineRule="auto"/>
        <w:ind w:firstLine="480"/>
        <w:rPr>
          <w:rFonts w:hint="eastAsia" w:ascii="宋体" w:hAnsi="宋体" w:cs="宋体"/>
          <w:kern w:val="0"/>
          <w:sz w:val="24"/>
          <w:szCs w:val="24"/>
        </w:rPr>
      </w:pPr>
      <w:r>
        <w:rPr>
          <w:rFonts w:hint="eastAsia" w:ascii="宋体" w:hAnsi="宋体" w:cs="宋体"/>
          <w:kern w:val="0"/>
          <w:sz w:val="24"/>
          <w:szCs w:val="24"/>
        </w:rPr>
        <w:t>（五）监督保障</w:t>
      </w:r>
    </w:p>
    <w:p>
      <w:pPr>
        <w:widowControl/>
        <w:spacing w:line="432" w:lineRule="auto"/>
        <w:ind w:firstLine="480"/>
        <w:rPr>
          <w:rFonts w:ascii="宋体" w:hAnsi="宋体" w:cs="宋体"/>
          <w:kern w:val="0"/>
          <w:sz w:val="24"/>
          <w:szCs w:val="24"/>
        </w:rPr>
      </w:pPr>
      <w:r>
        <w:rPr>
          <w:rFonts w:hint="eastAsia" w:ascii="宋体" w:hAnsi="宋体" w:cs="宋体"/>
          <w:kern w:val="0"/>
          <w:sz w:val="24"/>
          <w:szCs w:val="24"/>
        </w:rPr>
        <w:t>做好门户网站政务公开发布情况常态化自查工作。我局设有政务公开投诉电话，今年未收到投诉来电，也未发生政府信息公开工作责任追究结果情况。</w:t>
      </w:r>
    </w:p>
    <w:p>
      <w:pPr>
        <w:widowControl/>
        <w:spacing w:line="432" w:lineRule="auto"/>
        <w:ind w:firstLine="480"/>
        <w:rPr>
          <w:rFonts w:ascii="宋体" w:hAnsi="宋体" w:cs="宋体"/>
          <w:kern w:val="0"/>
          <w:sz w:val="24"/>
          <w:szCs w:val="24"/>
        </w:rPr>
      </w:pPr>
      <w:r>
        <w:rPr>
          <w:rFonts w:hint="eastAsia" w:ascii="宋体" w:hAnsi="宋体" w:cs="宋体"/>
          <w:b/>
          <w:bCs/>
          <w:kern w:val="0"/>
          <w:sz w:val="24"/>
          <w:szCs w:val="24"/>
        </w:rPr>
        <w:t>二、主动公开政府信息情况</w:t>
      </w:r>
    </w:p>
    <w:p>
      <w:pPr>
        <w:widowControl/>
        <w:spacing w:line="432" w:lineRule="auto"/>
        <w:ind w:firstLine="480"/>
        <w:rPr>
          <w:rFonts w:ascii="宋体" w:hAnsi="宋体" w:cs="宋体"/>
          <w:kern w:val="0"/>
          <w:sz w:val="24"/>
          <w:szCs w:val="24"/>
        </w:rPr>
      </w:pPr>
    </w:p>
    <w:tbl>
      <w:tblPr>
        <w:tblStyle w:val="2"/>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w:t>
            </w:r>
            <w:r>
              <w:rPr>
                <w:rFonts w:ascii="宋体" w:hAnsi="宋体"/>
                <w:kern w:val="0"/>
                <w:sz w:val="20"/>
                <w:szCs w:val="20"/>
              </w:rPr>
              <w:t>制</w:t>
            </w:r>
            <w:r>
              <w:rPr>
                <w:rFonts w:hint="eastAsia" w:ascii="宋体" w:hAnsi="宋体" w:cs="宋体"/>
                <w:kern w:val="0"/>
                <w:sz w:val="20"/>
                <w:szCs w:val="20"/>
              </w:rPr>
              <w:t>发件</w:t>
            </w:r>
            <w:r>
              <w:rPr>
                <w:rFonts w:ascii="宋体" w:hAnsi="宋体"/>
                <w:kern w:val="0"/>
                <w:sz w:val="20"/>
                <w:szCs w:val="20"/>
              </w:rPr>
              <w:t>数</w:t>
            </w:r>
          </w:p>
        </w:tc>
        <w:tc>
          <w:tcPr>
            <w:tcW w:w="2435" w:type="dxa"/>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现行有效件</w:t>
            </w:r>
            <w:r>
              <w:rPr>
                <w:rFonts w:ascii="宋体" w:hAnsi="宋体"/>
                <w:kern w:val="0"/>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t> </w:t>
            </w: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t> </w:t>
            </w: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行政许可</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default" w:ascii="宋体" w:hAnsi="宋体" w:eastAsia="宋体" w:cs="宋体"/>
                <w:kern w:val="0"/>
                <w:sz w:val="24"/>
                <w:szCs w:val="24"/>
                <w:lang w:val="en-US" w:eastAsia="zh-CN"/>
              </w:rPr>
            </w:pPr>
            <w:r>
              <w:t> </w:t>
            </w:r>
            <w:r>
              <w:rPr>
                <w:rFonts w:hint="eastAsia"/>
                <w:lang w:val="en-US" w:eastAsia="zh-CN"/>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default" w:ascii="宋体" w:hAnsi="宋体" w:eastAsia="宋体" w:cs="宋体"/>
                <w:kern w:val="0"/>
                <w:sz w:val="24"/>
                <w:szCs w:val="24"/>
                <w:lang w:val="en-US" w:eastAsia="zh-CN"/>
              </w:rPr>
            </w:pPr>
            <w:r>
              <w:rPr>
                <w:rFonts w:hint="eastAsia" w:ascii="宋体" w:hAnsi="宋体" w:cs="宋体"/>
                <w:kern w:val="0"/>
                <w:sz w:val="20"/>
                <w:szCs w:val="20"/>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left"/>
              <w:rPr>
                <w:rFonts w:hint="default" w:ascii="宋体" w:hAnsi="宋体" w:eastAsia="宋体" w:cs="宋体"/>
                <w:kern w:val="0"/>
                <w:lang w:val="en-US" w:eastAsia="zh-CN"/>
              </w:rPr>
            </w:pPr>
            <w:r>
              <w:rPr>
                <w:rFonts w:hint="eastAsia" w:ascii="宋体" w:hAnsi="宋体" w:cs="宋体"/>
                <w:kern w:val="0"/>
                <w:lang w:val="en-US" w:eastAsia="zh-CN"/>
              </w:rPr>
              <w:t>0.002</w:t>
            </w:r>
          </w:p>
        </w:tc>
      </w:tr>
    </w:tbl>
    <w:p>
      <w:pPr>
        <w:widowControl/>
        <w:spacing w:line="432" w:lineRule="auto"/>
        <w:jc w:val="left"/>
        <w:rPr>
          <w:rFonts w:ascii="宋体" w:hAnsi="宋体" w:cs="宋体"/>
          <w:kern w:val="0"/>
          <w:sz w:val="24"/>
          <w:szCs w:val="24"/>
        </w:rPr>
      </w:pPr>
    </w:p>
    <w:p>
      <w:pPr>
        <w:widowControl/>
        <w:spacing w:line="432" w:lineRule="auto"/>
        <w:ind w:firstLine="480"/>
        <w:rPr>
          <w:rFonts w:ascii="宋体" w:hAnsi="宋体" w:cs="宋体"/>
          <w:kern w:val="0"/>
          <w:sz w:val="24"/>
          <w:szCs w:val="24"/>
        </w:rPr>
      </w:pPr>
      <w:r>
        <w:rPr>
          <w:rFonts w:hint="eastAsia" w:ascii="宋体" w:hAnsi="宋体" w:cs="宋体"/>
          <w:b/>
          <w:bCs/>
          <w:kern w:val="0"/>
          <w:sz w:val="24"/>
          <w:szCs w:val="24"/>
        </w:rPr>
        <w:t>三、收到和处理政府信息公开申请情况</w:t>
      </w:r>
    </w:p>
    <w:p>
      <w:pPr>
        <w:widowControl/>
        <w:spacing w:line="432" w:lineRule="auto"/>
        <w:ind w:firstLine="480"/>
        <w:rPr>
          <w:rFonts w:ascii="宋体" w:hAnsi="宋体" w:cs="宋体"/>
          <w:kern w:val="0"/>
          <w:sz w:val="24"/>
          <w:szCs w:val="24"/>
        </w:rPr>
      </w:pPr>
    </w:p>
    <w:tbl>
      <w:tblPr>
        <w:tblStyle w:val="2"/>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
      <w:tblGrid>
        <w:gridCol w:w="754"/>
        <w:gridCol w:w="921"/>
        <w:gridCol w:w="3257"/>
        <w:gridCol w:w="688"/>
        <w:gridCol w:w="688"/>
        <w:gridCol w:w="688"/>
        <w:gridCol w:w="688"/>
        <w:gridCol w:w="688"/>
        <w:gridCol w:w="688"/>
        <w:gridCol w:w="688"/>
      </w:tblGrid>
      <w:tr>
        <w:tblPrEx>
          <w:tblCellMar>
            <w:top w:w="0" w:type="dxa"/>
            <w:left w:w="57" w:type="dxa"/>
            <w:bottom w:w="0" w:type="dxa"/>
            <w:right w:w="57" w:type="dxa"/>
          </w:tblCellMar>
        </w:tblPrEx>
        <w:trPr>
          <w:jc w:val="center"/>
        </w:trPr>
        <w:tc>
          <w:tcPr>
            <w:tcW w:w="4932" w:type="dxa"/>
            <w:gridSpan w:val="3"/>
            <w:vMerge w:val="restart"/>
            <w:tcBorders>
              <w:top w:val="single" w:color="auto" w:sz="8" w:space="0"/>
              <w:left w:val="single" w:color="auto" w:sz="8" w:space="0"/>
              <w:bottom w:val="inset" w:color="auto" w:sz="6"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法人或其他组织</w:t>
            </w:r>
          </w:p>
        </w:tc>
        <w:tc>
          <w:tcPr>
            <w:tcW w:w="688" w:type="dxa"/>
            <w:vMerge w:val="restart"/>
            <w:tcBorders>
              <w:top w:val="single" w:color="auto" w:sz="8" w:space="0"/>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商业</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科研</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p>
        </w:tc>
        <w:tc>
          <w:tcPr>
            <w:tcW w:w="688" w:type="dxa"/>
            <w:vMerge w:val="continue"/>
            <w:tcBorders>
              <w:top w:val="single" w:color="auto" w:sz="8"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vAlign w:val="center"/>
          </w:tcPr>
          <w:p>
            <w:pPr>
              <w:widowControl/>
              <w:tabs>
                <w:tab w:val="left" w:pos="223"/>
                <w:tab w:val="center" w:pos="346"/>
              </w:tabs>
              <w:spacing w:line="480" w:lineRule="exact"/>
              <w:jc w:val="center"/>
              <w:rPr>
                <w:rFonts w:hint="default" w:ascii="宋体" w:hAnsi="宋体" w:cs="宋体"/>
                <w:kern w:val="0"/>
                <w:sz w:val="24"/>
                <w:szCs w:val="24"/>
                <w:lang w:val="en-US"/>
              </w:rPr>
            </w:pPr>
            <w:r>
              <w:rPr>
                <w:rFonts w:hint="eastAsia"/>
                <w:kern w:val="0"/>
                <w:sz w:val="20"/>
                <w:szCs w:val="20"/>
                <w:lang w:val="en-US" w:eastAsia="zh-CN"/>
              </w:rPr>
              <w:t>143</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143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default" w:ascii="宋体" w:hAnsi="宋体" w:eastAsia="宋体" w:cs="宋体"/>
                <w:kern w:val="0"/>
                <w:sz w:val="24"/>
                <w:szCs w:val="24"/>
                <w:lang w:val="en-US" w:eastAsia="zh-CN"/>
              </w:rPr>
            </w:pPr>
            <w:r>
              <w:rPr>
                <w:rFonts w:hint="eastAsia"/>
                <w:kern w:val="0"/>
                <w:sz w:val="20"/>
                <w:szCs w:val="20"/>
                <w:lang w:val="en-US" w:eastAsia="zh-CN"/>
              </w:rPr>
              <w:t>15</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default" w:ascii="宋体" w:hAnsi="宋体" w:eastAsia="宋体" w:cs="宋体"/>
                <w:kern w:val="0"/>
                <w:sz w:val="24"/>
                <w:szCs w:val="24"/>
                <w:lang w:val="en-US" w:eastAsia="zh-CN"/>
              </w:rPr>
            </w:pPr>
            <w:r>
              <w:rPr>
                <w:rFonts w:hint="eastAsia"/>
                <w:kern w:val="0"/>
                <w:sz w:val="20"/>
                <w:szCs w:val="20"/>
                <w:lang w:val="en-US" w:eastAsia="zh-CN"/>
              </w:rPr>
              <w:t>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restart"/>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三、本年度办理结果</w:t>
            </w: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default"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vAlign w:val="center"/>
          </w:tcPr>
          <w:p>
            <w:pPr>
              <w:widowControl/>
              <w:tabs>
                <w:tab w:val="left" w:pos="238"/>
                <w:tab w:val="center" w:pos="346"/>
              </w:tabs>
              <w:spacing w:line="480" w:lineRule="exact"/>
              <w:jc w:val="center"/>
              <w:rPr>
                <w:rFonts w:ascii="宋体" w:hAnsi="宋体" w:cs="宋体"/>
                <w:kern w:val="0"/>
                <w:sz w:val="24"/>
                <w:szCs w:val="24"/>
              </w:rPr>
            </w:pPr>
            <w:r>
              <w:rPr>
                <w:rFonts w:hint="eastAsia"/>
                <w:kern w:val="0"/>
                <w:sz w:val="20"/>
                <w:szCs w:val="20"/>
                <w:lang w:val="en-US" w:eastAsia="zh-CN"/>
              </w:rPr>
              <w:t>24</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default" w:ascii="宋体" w:hAnsi="宋体" w:eastAsia="宋体" w:cs="宋体"/>
                <w:kern w:val="0"/>
                <w:sz w:val="24"/>
                <w:szCs w:val="24"/>
                <w:lang w:val="en-US" w:eastAsia="zh-CN"/>
              </w:rPr>
            </w:pPr>
            <w:r>
              <w:rPr>
                <w:rFonts w:hint="eastAsia"/>
                <w:kern w:val="0"/>
                <w:sz w:val="20"/>
                <w:szCs w:val="20"/>
                <w:lang w:val="en-US" w:eastAsia="zh-CN"/>
              </w:rPr>
              <w:t>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（三）不予公开</w:t>
            </w: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2</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（四）无法提供</w:t>
            </w: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default" w:ascii="宋体" w:hAnsi="宋体" w:eastAsia="宋体" w:cs="宋体"/>
                <w:kern w:val="0"/>
                <w:sz w:val="24"/>
                <w:szCs w:val="24"/>
                <w:lang w:val="en-US" w:eastAsia="zh-CN"/>
              </w:rPr>
            </w:pPr>
            <w:r>
              <w:rPr>
                <w:rFonts w:hint="eastAsia"/>
                <w:kern w:val="0"/>
                <w:sz w:val="20"/>
                <w:szCs w:val="20"/>
                <w:lang w:val="en-US" w:eastAsia="zh-CN"/>
              </w:rPr>
              <w:t>23</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default" w:ascii="宋体" w:hAnsi="宋体" w:eastAsia="宋体" w:cs="宋体"/>
                <w:kern w:val="0"/>
                <w:sz w:val="24"/>
                <w:szCs w:val="24"/>
                <w:lang w:val="en-US" w:eastAsia="zh-CN" w:bidi="ar-SA"/>
              </w:rPr>
            </w:pPr>
            <w:r>
              <w:rPr>
                <w:rFonts w:hint="eastAsia"/>
                <w:kern w:val="0"/>
                <w:sz w:val="20"/>
                <w:szCs w:val="20"/>
                <w:lang w:val="en-US" w:eastAsia="zh-CN"/>
              </w:rPr>
              <w:t>23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（五）不予处理</w:t>
            </w: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2</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1</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3.要求提供公开出版物</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inset" w:color="auto" w:sz="6"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（六）其他处理</w:t>
            </w: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14</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eastAsia="宋体" w:cs="宋体"/>
                <w:kern w:val="0"/>
                <w:sz w:val="24"/>
                <w:szCs w:val="24"/>
                <w:lang w:val="en-US" w:eastAsia="zh-CN" w:bidi="ar-SA"/>
              </w:rPr>
            </w:pPr>
            <w:r>
              <w:rPr>
                <w:rFonts w:hint="eastAsia"/>
                <w:kern w:val="0"/>
                <w:sz w:val="20"/>
                <w:szCs w:val="20"/>
                <w:lang w:val="en-US" w:eastAsia="zh-CN"/>
              </w:rPr>
              <w:t>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eastAsia="宋体"/>
                <w:kern w:val="0"/>
                <w:sz w:val="20"/>
                <w:szCs w:val="20"/>
                <w:lang w:val="en-US" w:eastAsia="zh-CN"/>
              </w:rPr>
            </w:pPr>
            <w:r>
              <w:rPr>
                <w:rFonts w:hint="eastAsia"/>
                <w:kern w:val="0"/>
                <w:sz w:val="20"/>
                <w:szCs w:val="20"/>
                <w:lang w:val="en-US" w:eastAsia="zh-CN"/>
              </w:rPr>
              <w:t>1</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default" w:ascii="宋体" w:hAnsi="宋体" w:cs="宋体"/>
                <w:kern w:val="0"/>
                <w:sz w:val="24"/>
                <w:szCs w:val="24"/>
                <w:lang w:val="en-US"/>
              </w:rPr>
            </w:pPr>
            <w:r>
              <w:rPr>
                <w:rFonts w:hint="eastAsia"/>
                <w:kern w:val="0"/>
                <w:sz w:val="20"/>
                <w:szCs w:val="20"/>
                <w:lang w:val="en-US" w:eastAsia="zh-CN"/>
              </w:rPr>
              <w:t>61</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61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default" w:ascii="宋体" w:hAnsi="宋体" w:cs="宋体"/>
                <w:kern w:val="0"/>
                <w:sz w:val="24"/>
                <w:szCs w:val="24"/>
                <w:lang w:val="en-US"/>
              </w:rPr>
            </w:pPr>
            <w:r>
              <w:rPr>
                <w:rFonts w:hint="eastAsia"/>
                <w:kern w:val="0"/>
                <w:sz w:val="20"/>
                <w:szCs w:val="20"/>
                <w:lang w:val="en-US" w:eastAsia="zh-CN"/>
              </w:rPr>
              <w:t>158</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default" w:ascii="宋体" w:hAnsi="宋体" w:eastAsia="宋体" w:cs="宋体"/>
                <w:kern w:val="0"/>
                <w:sz w:val="24"/>
                <w:szCs w:val="24"/>
                <w:lang w:val="en-US" w:eastAsia="zh-CN"/>
              </w:rPr>
            </w:pPr>
            <w:r>
              <w:rPr>
                <w:rFonts w:hint="eastAsia"/>
                <w:kern w:val="0"/>
                <w:sz w:val="20"/>
                <w:szCs w:val="20"/>
                <w:lang w:val="en-US" w:eastAsia="zh-CN"/>
              </w:rPr>
              <w:t>158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四、结转下年度继续办理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rPr>
            </w:pPr>
            <w:r>
              <w:rPr>
                <w:rFonts w:hint="eastAsia"/>
                <w:kern w:val="0"/>
                <w:sz w:val="20"/>
                <w:szCs w:val="20"/>
                <w:lang w:val="en-US" w:eastAsia="zh-CN"/>
              </w:rPr>
              <w:t>0</w:t>
            </w:r>
          </w:p>
        </w:tc>
      </w:tr>
    </w:tbl>
    <w:p>
      <w:pPr>
        <w:widowControl/>
        <w:spacing w:line="432" w:lineRule="auto"/>
        <w:jc w:val="center"/>
        <w:rPr>
          <w:rFonts w:ascii="宋体" w:hAnsi="宋体" w:cs="宋体"/>
          <w:kern w:val="0"/>
          <w:sz w:val="24"/>
          <w:szCs w:val="24"/>
        </w:rPr>
      </w:pPr>
    </w:p>
    <w:p>
      <w:pPr>
        <w:widowControl/>
        <w:spacing w:line="432" w:lineRule="auto"/>
        <w:ind w:firstLine="480"/>
        <w:rPr>
          <w:rFonts w:ascii="宋体" w:hAnsi="宋体" w:cs="宋体"/>
          <w:kern w:val="0"/>
          <w:sz w:val="24"/>
          <w:szCs w:val="24"/>
        </w:rPr>
      </w:pPr>
      <w:r>
        <w:rPr>
          <w:rFonts w:hint="eastAsia" w:ascii="宋体" w:hAnsi="宋体" w:cs="宋体"/>
          <w:b/>
          <w:bCs/>
          <w:kern w:val="0"/>
          <w:sz w:val="24"/>
          <w:szCs w:val="24"/>
        </w:rPr>
        <w:t>四、政府信息公开行政复议、行政诉讼情况</w:t>
      </w:r>
    </w:p>
    <w:p>
      <w:pPr>
        <w:widowControl/>
        <w:spacing w:line="432" w:lineRule="auto"/>
        <w:jc w:val="center"/>
        <w:rPr>
          <w:rFonts w:ascii="宋体" w:hAnsi="宋体" w:cs="宋体"/>
          <w:kern w:val="0"/>
          <w:sz w:val="24"/>
          <w:szCs w:val="24"/>
        </w:rPr>
      </w:pPr>
    </w:p>
    <w:tbl>
      <w:tblPr>
        <w:tblStyle w:val="2"/>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行政复议</w:t>
            </w:r>
          </w:p>
        </w:tc>
        <w:tc>
          <w:tcPr>
            <w:tcW w:w="6498"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结果维持</w:t>
            </w: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3248"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lang w:val="en-US" w:eastAsia="zh-CN"/>
              </w:rPr>
            </w:pPr>
            <w:r>
              <w:rPr>
                <w:rFonts w:hint="eastAsia" w:ascii="宋体" w:hAnsi="宋体" w:cs="宋体"/>
                <w:kern w:val="0"/>
                <w:lang w:val="en-US" w:eastAsia="zh-CN"/>
              </w:rPr>
              <w:t>0</w:t>
            </w:r>
          </w:p>
        </w:tc>
      </w:tr>
    </w:tbl>
    <w:p>
      <w:pPr>
        <w:widowControl/>
        <w:spacing w:line="432" w:lineRule="auto"/>
        <w:jc w:val="left"/>
        <w:rPr>
          <w:rFonts w:ascii="宋体" w:hAnsi="宋体" w:cs="宋体"/>
          <w:kern w:val="0"/>
          <w:sz w:val="24"/>
          <w:szCs w:val="24"/>
        </w:rPr>
      </w:pPr>
    </w:p>
    <w:p>
      <w:pPr>
        <w:widowControl/>
        <w:spacing w:line="432" w:lineRule="auto"/>
        <w:ind w:firstLine="480"/>
        <w:rPr>
          <w:rFonts w:ascii="宋体" w:hAnsi="宋体" w:cs="宋体"/>
          <w:kern w:val="0"/>
          <w:sz w:val="24"/>
          <w:szCs w:val="24"/>
        </w:rPr>
      </w:pPr>
      <w:r>
        <w:rPr>
          <w:rFonts w:hint="eastAsia" w:ascii="宋体" w:hAnsi="宋体" w:cs="宋体"/>
          <w:b/>
          <w:bCs/>
          <w:kern w:val="0"/>
          <w:sz w:val="24"/>
          <w:szCs w:val="24"/>
        </w:rPr>
        <w:t>五、存在的主要问题及改进情况</w:t>
      </w:r>
    </w:p>
    <w:p>
      <w:pPr>
        <w:widowControl/>
        <w:spacing w:line="432" w:lineRule="auto"/>
        <w:ind w:firstLine="480"/>
        <w:rPr>
          <w:rFonts w:hint="eastAsia" w:ascii="宋体" w:hAnsi="宋体" w:cs="宋体"/>
          <w:kern w:val="0"/>
          <w:sz w:val="24"/>
          <w:szCs w:val="24"/>
          <w:lang w:val="en-US" w:eastAsia="zh-CN"/>
        </w:rPr>
      </w:pPr>
      <w:r>
        <w:rPr>
          <w:rFonts w:hint="eastAsia" w:ascii="宋体" w:hAnsi="宋体" w:cs="宋体"/>
          <w:kern w:val="0"/>
          <w:sz w:val="24"/>
          <w:szCs w:val="24"/>
          <w:lang w:val="en-US" w:eastAsia="zh-CN"/>
        </w:rPr>
        <w:t>2021年，我局政府信息公开工作取得了一定的成绩，但仍存在一些不足之处，例如全局各科室信息公开意识需要进一步加强、公开时效性需要进一步提升、公开形式需要更进一步丰富等等。</w:t>
      </w:r>
    </w:p>
    <w:p>
      <w:pPr>
        <w:widowControl/>
        <w:spacing w:line="432" w:lineRule="auto"/>
        <w:ind w:firstLine="480"/>
        <w:rPr>
          <w:rFonts w:hint="eastAsia" w:ascii="宋体" w:hAnsi="宋体" w:cs="宋体"/>
          <w:kern w:val="0"/>
          <w:sz w:val="24"/>
          <w:szCs w:val="24"/>
          <w:lang w:val="en-US" w:eastAsia="zh-CN"/>
        </w:rPr>
      </w:pPr>
      <w:r>
        <w:rPr>
          <w:rFonts w:hint="eastAsia" w:ascii="宋体" w:hAnsi="宋体" w:cs="宋体"/>
          <w:kern w:val="0"/>
          <w:sz w:val="24"/>
          <w:szCs w:val="24"/>
          <w:lang w:val="en-US" w:eastAsia="zh-CN"/>
        </w:rPr>
        <w:t>下一步，我局将进一步深入开展政府信息公开工作：</w:t>
      </w:r>
    </w:p>
    <w:p>
      <w:pPr>
        <w:widowControl/>
        <w:spacing w:line="432" w:lineRule="auto"/>
        <w:ind w:firstLine="480"/>
        <w:rPr>
          <w:rFonts w:hint="eastAsia" w:ascii="宋体" w:hAnsi="宋体" w:cs="宋体"/>
          <w:kern w:val="0"/>
          <w:sz w:val="24"/>
          <w:szCs w:val="24"/>
          <w:lang w:val="en-US" w:eastAsia="zh-CN"/>
        </w:rPr>
      </w:pPr>
      <w:r>
        <w:rPr>
          <w:rFonts w:hint="eastAsia" w:ascii="宋体" w:hAnsi="宋体" w:cs="宋体"/>
          <w:kern w:val="0"/>
          <w:sz w:val="24"/>
          <w:szCs w:val="24"/>
          <w:lang w:val="en-US" w:eastAsia="zh-CN"/>
        </w:rPr>
        <w:t>一是加强业务培训，提升各科室信息公开的主动性和专业度。</w:t>
      </w:r>
    </w:p>
    <w:p>
      <w:pPr>
        <w:widowControl/>
        <w:spacing w:line="432" w:lineRule="auto"/>
        <w:ind w:firstLine="480"/>
        <w:rPr>
          <w:rFonts w:hint="eastAsia" w:ascii="宋体" w:hAnsi="宋体" w:cs="宋体"/>
          <w:kern w:val="0"/>
          <w:sz w:val="24"/>
          <w:szCs w:val="24"/>
          <w:lang w:val="en-US" w:eastAsia="zh-CN"/>
        </w:rPr>
      </w:pPr>
      <w:r>
        <w:rPr>
          <w:rFonts w:hint="eastAsia" w:ascii="宋体" w:hAnsi="宋体" w:cs="宋体"/>
          <w:kern w:val="0"/>
          <w:sz w:val="24"/>
          <w:szCs w:val="24"/>
          <w:lang w:val="en-US" w:eastAsia="zh-CN"/>
        </w:rPr>
        <w:t>二是规范公开程序，优化政务公开运行机制，提升信息公开的规范性、时效性。</w:t>
      </w:r>
    </w:p>
    <w:p>
      <w:pPr>
        <w:widowControl/>
        <w:spacing w:line="432" w:lineRule="auto"/>
        <w:ind w:firstLine="480"/>
        <w:rPr>
          <w:rFonts w:hint="default" w:ascii="宋体" w:hAnsi="宋体" w:cs="宋体"/>
          <w:kern w:val="0"/>
          <w:sz w:val="24"/>
          <w:szCs w:val="24"/>
          <w:lang w:val="en-US" w:eastAsia="zh-CN"/>
        </w:rPr>
      </w:pPr>
      <w:r>
        <w:rPr>
          <w:rFonts w:hint="eastAsia" w:ascii="宋体" w:hAnsi="宋体" w:cs="宋体"/>
          <w:kern w:val="0"/>
          <w:sz w:val="24"/>
          <w:szCs w:val="24"/>
          <w:lang w:val="en-US" w:eastAsia="zh-CN"/>
        </w:rPr>
        <w:t>三是拓展公开形式，合理利用图片、图表等形式进行公开，提升公开内容的可读性、易读性，利用微信公众号等新媒体及时发布各类信息，便于群众及时掌握所需信息。</w:t>
      </w:r>
    </w:p>
    <w:p>
      <w:pPr>
        <w:widowControl/>
        <w:spacing w:line="432" w:lineRule="auto"/>
        <w:ind w:firstLine="480"/>
        <w:rPr>
          <w:rFonts w:ascii="宋体" w:hAnsi="宋体" w:cs="宋体"/>
          <w:kern w:val="0"/>
          <w:sz w:val="24"/>
          <w:szCs w:val="24"/>
        </w:rPr>
      </w:pPr>
      <w:r>
        <w:rPr>
          <w:rFonts w:hint="eastAsia" w:ascii="宋体" w:hAnsi="宋体" w:cs="宋体"/>
          <w:b/>
          <w:bCs/>
          <w:kern w:val="0"/>
          <w:sz w:val="24"/>
          <w:szCs w:val="24"/>
        </w:rPr>
        <w:t>六、其他需要报告的事项</w:t>
      </w:r>
    </w:p>
    <w:p>
      <w:pPr>
        <w:widowControl/>
        <w:spacing w:line="432" w:lineRule="auto"/>
        <w:ind w:firstLine="480"/>
        <w:jc w:val="left"/>
        <w:rPr>
          <w:rFonts w:ascii="宋体" w:hAnsi="宋体" w:cs="宋体"/>
          <w:kern w:val="0"/>
          <w:sz w:val="24"/>
          <w:szCs w:val="24"/>
        </w:rPr>
      </w:pPr>
      <w:r>
        <w:rPr>
          <w:rFonts w:hint="eastAsia" w:ascii="宋体" w:hAnsi="宋体" w:cs="宋体"/>
          <w:kern w:val="0"/>
          <w:sz w:val="24"/>
          <w:szCs w:val="24"/>
        </w:rPr>
        <w:t>2022年度，根据《政府信息公开信息处理费管理办法》的相关规定需要收取信息处理费的信息公开共计1件，因申请人所申请的政府信息数量超过30页（本次）,根据《国务院</w:t>
      </w:r>
      <w:r>
        <w:rPr>
          <w:rFonts w:hint="eastAsia" w:ascii="宋体" w:hAnsi="宋体" w:cs="宋体"/>
          <w:kern w:val="0"/>
          <w:sz w:val="24"/>
          <w:szCs w:val="24"/>
          <w:lang w:val="en-US" w:eastAsia="zh-CN"/>
        </w:rPr>
        <w:t>办公</w:t>
      </w:r>
      <w:r>
        <w:rPr>
          <w:rFonts w:hint="eastAsia" w:ascii="宋体" w:hAnsi="宋体" w:cs="宋体"/>
          <w:kern w:val="0"/>
          <w:sz w:val="24"/>
          <w:szCs w:val="24"/>
        </w:rPr>
        <w:t>厅印发&lt;政府信息公开信息处理费管理办法&gt;》（国办函〔2020〕109号）及《浙江省人民政府办公厅关于做好政府信息公开信息处理费收取工作的通知》（浙政办发函〔2021〕3号）等文件规定，收取信息处理费共计20元。</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GQ2MDAyNGE2Mzg1M2EzODVkYzhkMzdkNDY2MWM5ZTYifQ=="/>
  </w:docVars>
  <w:rsids>
    <w:rsidRoot w:val="4B875CE9"/>
    <w:rsid w:val="052D1AA7"/>
    <w:rsid w:val="4B875CE9"/>
    <w:rsid w:val="50E2364A"/>
    <w:rsid w:val="56236286"/>
    <w:rsid w:val="5CCC52F7"/>
    <w:rsid w:val="70413950"/>
    <w:rsid w:val="7CE259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1808</Words>
  <Characters>1889</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2023-01-09T08:40:00Z</dcterms:created>
  <dc:creator>wetlands</dc:creator>
  <cp:lastModifiedBy>小胡来</cp:lastModifiedBy>
  <dcterms:modified xsi:type="dcterms:W3CDTF">2024-01-02T06:27:54Z</dcterms:modified>
  <dc:title>2022年度区住建局政府信息公开工作年度报告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F0FBFA7F781D4D5A866786214DB163CD</vt:lpwstr>
  </property>
</Properties>
</file>