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2020年区数据局政府信息工作年报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2020年，我局按照《中华人民共和国政府信息公开条例》的要求，</w:t>
      </w:r>
      <w:r>
        <w:rPr>
          <w:rFonts w:hint="eastAsia" w:ascii="仿宋" w:hAnsi="仿宋" w:eastAsia="仿宋"/>
          <w:color w:val="333333"/>
          <w:sz w:val="32"/>
          <w:szCs w:val="32"/>
        </w:rPr>
        <w:t>围绕市年度政务公开重点工作部署，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认真贯彻落实</w:t>
      </w:r>
      <w:r>
        <w:rPr>
          <w:rFonts w:hint="eastAsia" w:ascii="仿宋" w:hAnsi="仿宋" w:eastAsia="仿宋"/>
          <w:color w:val="333333"/>
          <w:sz w:val="32"/>
          <w:szCs w:val="32"/>
        </w:rPr>
        <w:t>新修订的《政府信息公开条例》，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坚持“公开为常态、不公开为例外"原则，全面推进决策、执行、结果、管理和服务“五公开”，切实加强政策解读，积极回应社会关切，公开质量和效果得到显著提升。</w:t>
      </w:r>
    </w:p>
    <w:p>
      <w:pPr>
        <w:widowControl/>
        <w:numPr>
          <w:ilvl w:val="0"/>
          <w:numId w:val="1"/>
        </w:numPr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总体情况</w:t>
      </w:r>
    </w:p>
    <w:p>
      <w:pPr>
        <w:pStyle w:val="3"/>
        <w:shd w:val="clear" w:color="auto" w:fill="FFFFFF"/>
        <w:spacing w:before="0" w:beforeAutospacing="0" w:after="0" w:afterAutospacing="0"/>
        <w:ind w:firstLine="640"/>
        <w:jc w:val="both"/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（一）主动公开情况。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 xml:space="preserve">我局政务公开栏目共发布各类信息20条，其中规划计划1条，财政信息2条，人事信息3条，行政执法决定3条，工作动态11条 </w:t>
      </w:r>
    </w:p>
    <w:p>
      <w:pPr>
        <w:pStyle w:val="3"/>
        <w:shd w:val="clear" w:color="auto" w:fill="FFFFFF"/>
        <w:spacing w:before="0" w:beforeAutospacing="0" w:after="0" w:afterAutospacing="0"/>
        <w:ind w:firstLine="640"/>
        <w:jc w:val="both"/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（二）依申请公开信息情况。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2020年我局未收到公民、法人或其他社会组织当面或以信函、传真等形式要求公开政府信息的申请。</w:t>
      </w:r>
    </w:p>
    <w:p>
      <w:pPr>
        <w:pStyle w:val="3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（三）平台建设情况。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坚持每日巡网制度，切实解决网站严重表述错误、栏目不及时更新、错链死链等问题。根据每月网站内容质量监测报告和日常运维监测分析报告，及时整改网站存在的突出问题，充分发挥政府门户网站政务公开第一平台作用。</w:t>
      </w:r>
    </w:p>
    <w:p>
      <w:pPr>
        <w:pStyle w:val="3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（四）政府信息管理及监督保障情况。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2020年度我局已制定《下城区数据资源管理局政务公开工作制度》、《下城区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数据资源管理局</w:t>
      </w:r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政府信息发布管理制度》等，对政务信息进行全生命周期的规范管理。同时将</w:t>
      </w:r>
      <w:bookmarkStart w:id="0" w:name="_GoBack"/>
      <w:bookmarkEnd w:id="0"/>
      <w:r>
        <w:rPr>
          <w:rFonts w:hint="eastAsia" w:ascii="仿宋" w:hAnsi="仿宋" w:eastAsia="仿宋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单位组织机构等信息向社会进行详细了公开，方便群众查阅和对我局工作的监督。</w:t>
      </w:r>
    </w:p>
    <w:p>
      <w:pPr>
        <w:widowControl/>
        <w:numPr>
          <w:ilvl w:val="0"/>
          <w:numId w:val="1"/>
        </w:numPr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主动公开政府信息情况</w:t>
      </w:r>
    </w:p>
    <w:tbl>
      <w:tblPr>
        <w:tblStyle w:val="5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4844万元</w:t>
            </w:r>
          </w:p>
        </w:tc>
      </w:tr>
    </w:tbl>
    <w:p>
      <w:pPr>
        <w:widowControl/>
        <w:numPr>
          <w:ilvl w:val="0"/>
          <w:numId w:val="0"/>
        </w:numPr>
        <w:snapToGrid w:val="0"/>
        <w:spacing w:line="360" w:lineRule="auto"/>
        <w:jc w:val="left"/>
        <w:rPr>
          <w:rFonts w:ascii="宋体" w:hAnsi="宋体" w:cs="宋体"/>
          <w:color w:val="333333"/>
          <w:kern w:val="0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4"/>
        <w:gridCol w:w="711"/>
        <w:gridCol w:w="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Calibri" w:hAnsi="Calibri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</w:rPr>
      </w:pPr>
    </w:p>
    <w:p>
      <w:pPr>
        <w:pStyle w:val="3"/>
        <w:widowControl/>
        <w:snapToGrid w:val="0"/>
        <w:spacing w:beforeAutospacing="0" w:afterAutospacing="0" w:line="360" w:lineRule="auto"/>
        <w:ind w:firstLine="643" w:firstLineChars="200"/>
        <w:rPr>
          <w:rFonts w:ascii="黑体" w:hAnsi="黑体" w:eastAsia="黑体" w:cs="仿宋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kern w:val="2"/>
          <w:sz w:val="32"/>
          <w:szCs w:val="32"/>
        </w:rPr>
        <w:t>四、政府信息公开行政复议、行政诉讼情况</w:t>
      </w:r>
    </w:p>
    <w:tbl>
      <w:tblPr>
        <w:tblStyle w:val="5"/>
        <w:tblW w:w="823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00"/>
        <w:gridCol w:w="600"/>
        <w:gridCol w:w="600"/>
        <w:gridCol w:w="408"/>
        <w:gridCol w:w="132"/>
        <w:gridCol w:w="436"/>
        <w:gridCol w:w="566"/>
        <w:gridCol w:w="567"/>
        <w:gridCol w:w="567"/>
        <w:gridCol w:w="436"/>
        <w:gridCol w:w="567"/>
        <w:gridCol w:w="557"/>
        <w:gridCol w:w="567"/>
        <w:gridCol w:w="567"/>
        <w:gridCol w:w="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52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尚未审结</w:t>
            </w:r>
          </w:p>
        </w:tc>
        <w:tc>
          <w:tcPr>
            <w:tcW w:w="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未经复议直接起诉</w:t>
            </w:r>
          </w:p>
        </w:tc>
        <w:tc>
          <w:tcPr>
            <w:tcW w:w="2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维持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审结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维持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numPr>
          <w:ilvl w:val="0"/>
          <w:numId w:val="2"/>
        </w:numPr>
        <w:snapToGrid w:val="0"/>
        <w:spacing w:beforeAutospacing="0" w:afterAutospacing="0" w:line="360" w:lineRule="auto"/>
        <w:ind w:firstLine="643" w:firstLineChars="200"/>
        <w:rPr>
          <w:rFonts w:hint="eastAsia" w:ascii="黑体" w:hAnsi="黑体" w:eastAsia="黑体" w:cs="仿宋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kern w:val="2"/>
          <w:sz w:val="32"/>
          <w:szCs w:val="32"/>
        </w:rPr>
        <w:t>存在主要问题及改进情况</w:t>
      </w:r>
    </w:p>
    <w:p>
      <w:pPr>
        <w:pStyle w:val="3"/>
        <w:widowControl/>
        <w:snapToGrid w:val="0"/>
        <w:spacing w:beforeAutospacing="0" w:afterAutospacing="0" w:line="360" w:lineRule="auto"/>
        <w:ind w:firstLine="643" w:firstLineChars="200"/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</w:rPr>
        <w:t>20</w:t>
      </w:r>
      <w:r>
        <w:rPr>
          <w:rFonts w:hint="eastAsia" w:ascii="仿宋_GB2312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20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</w:rPr>
        <w:t>年我局政府信息公开工作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较好完成，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</w:rPr>
        <w:t>但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仍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</w:rPr>
        <w:t>存在一些不足和问题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lang w:eastAsia="zh-CN"/>
        </w:rPr>
        <w:t>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default" w:ascii="仿宋" w:hAnsi="仿宋" w:eastAsia="仿宋" w:cs="仿宋"/>
          <w:bCs/>
          <w:kern w:val="2"/>
          <w:sz w:val="32"/>
          <w:szCs w:val="32"/>
          <w:shd w:val="clear" w:color="auto" w:fill="FFFFFF"/>
        </w:rPr>
        <w:t>是信息的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  <w:lang w:val="en-US" w:eastAsia="zh-CN"/>
        </w:rPr>
        <w:t>公开力度</w:t>
      </w:r>
      <w:r>
        <w:rPr>
          <w:rFonts w:hint="default" w:ascii="仿宋" w:hAnsi="仿宋" w:eastAsia="仿宋" w:cs="仿宋"/>
          <w:bCs/>
          <w:kern w:val="2"/>
          <w:sz w:val="32"/>
          <w:szCs w:val="32"/>
          <w:shd w:val="clear" w:color="auto" w:fill="FFFFFF"/>
        </w:rPr>
        <w:t>有待进一步提高；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default" w:ascii="仿宋" w:hAnsi="仿宋" w:eastAsia="仿宋" w:cs="仿宋"/>
          <w:bCs/>
          <w:kern w:val="2"/>
          <w:sz w:val="32"/>
          <w:szCs w:val="32"/>
          <w:shd w:val="clear" w:color="auto" w:fill="FFFFFF"/>
        </w:rPr>
        <w:t>是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</w:rPr>
        <w:t>信息更新及时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  <w:lang w:val="en-US" w:eastAsia="zh-CN"/>
        </w:rPr>
        <w:t>性需进一步加强</w:t>
      </w:r>
      <w:r>
        <w:rPr>
          <w:rFonts w:hint="default" w:ascii="仿宋" w:hAnsi="仿宋" w:eastAsia="仿宋" w:cs="仿宋"/>
          <w:bCs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  <w:lang w:val="en-US" w:eastAsia="zh-CN"/>
        </w:rPr>
        <w:t>为此，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</w:rPr>
        <w:t>年我局将进一步夯实政务公开工作机制，增强政务公开意识，不断拓宽政务公开渠道，全面推动政务公开和信息公开的经常化、规范化、制度化，提升透明度，继续将政务公开列入全局重点工作，加强组织领导，扎实、稳定推进政务工作步入新的台阶。</w:t>
      </w:r>
    </w:p>
    <w:p>
      <w:pPr>
        <w:pStyle w:val="3"/>
        <w:widowControl/>
        <w:snapToGrid w:val="0"/>
        <w:spacing w:beforeAutospacing="0" w:afterAutospacing="0" w:line="360" w:lineRule="auto"/>
        <w:ind w:firstLine="643" w:firstLineChars="200"/>
        <w:rPr>
          <w:rFonts w:ascii="宋体" w:hAnsi="宋体" w:cs="宋体"/>
          <w:color w:val="333333"/>
        </w:rPr>
      </w:pPr>
      <w:r>
        <w:rPr>
          <w:rFonts w:hint="eastAsia" w:ascii="黑体" w:hAnsi="黑体" w:eastAsia="黑体" w:cs="仿宋"/>
          <w:b/>
          <w:bCs/>
          <w:kern w:val="2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Helvetica Neue">
    <w:altName w:val="Helvetic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8211462">
    <w:nsid w:val="5EAA2F06"/>
    <w:multiLevelType w:val="singleLevel"/>
    <w:tmpl w:val="5EAA2F06"/>
    <w:lvl w:ilvl="0" w:tentative="1">
      <w:start w:val="1"/>
      <w:numFmt w:val="chineseCounting"/>
      <w:suff w:val="nothing"/>
      <w:lvlText w:val="%1、"/>
      <w:lvlJc w:val="left"/>
    </w:lvl>
  </w:abstractNum>
  <w:abstractNum w:abstractNumId="1588211948">
    <w:nsid w:val="5EAA30EC"/>
    <w:multiLevelType w:val="singleLevel"/>
    <w:tmpl w:val="5EAA30EC"/>
    <w:lvl w:ilvl="0" w:tentative="1">
      <w:start w:val="5"/>
      <w:numFmt w:val="chineseCounting"/>
      <w:suff w:val="nothing"/>
      <w:lvlText w:val="%1、"/>
      <w:lvlJc w:val="left"/>
    </w:lvl>
  </w:abstractNum>
  <w:num w:numId="1">
    <w:abstractNumId w:val="1588211462"/>
  </w:num>
  <w:num w:numId="2">
    <w:abstractNumId w:val="15882119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6C"/>
    <w:rsid w:val="00605C58"/>
    <w:rsid w:val="0077236C"/>
    <w:rsid w:val="00B55C13"/>
    <w:rsid w:val="03D118EA"/>
    <w:rsid w:val="081306D3"/>
    <w:rsid w:val="11493ECC"/>
    <w:rsid w:val="51B5729C"/>
    <w:rsid w:val="79DB42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6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297</Words>
  <Characters>1695</Characters>
  <Lines>14</Lines>
  <Paragraphs>3</Paragraphs>
  <TotalTime>0</TotalTime>
  <ScaleCrop>false</ScaleCrop>
  <LinksUpToDate>false</LinksUpToDate>
  <CharactersWithSpaces>1989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2021-01-07T09:31:00Z</dcterms:created>
  <dc:creator>g l</dc:creator>
  <cp:lastModifiedBy>LeiQing</cp:lastModifiedBy>
  <dcterms:modified xsi:type="dcterms:W3CDTF">2021-02-07T08:54:19Z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