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ascii="宋体" w:hAnsi="宋体" w:eastAsia="宋体" w:cs="宋体"/>
          <w:color w:val="333333"/>
          <w:kern w:val="0"/>
          <w:sz w:val="24"/>
        </w:rPr>
      </w:pPr>
    </w:p>
    <w:p>
      <w:pPr>
        <w:widowControl/>
        <w:shd w:val="clear" w:color="auto" w:fill="FFFFFF"/>
        <w:jc w:val="center"/>
        <w:rPr>
          <w:rFonts w:ascii="宋体" w:hAnsi="宋体" w:eastAsia="宋体" w:cs="宋体"/>
          <w:b/>
          <w:bCs/>
          <w:color w:val="333333"/>
          <w:kern w:val="0"/>
          <w:sz w:val="36"/>
          <w:szCs w:val="36"/>
        </w:rPr>
      </w:pPr>
      <w:r>
        <w:rPr>
          <w:rFonts w:hint="eastAsia" w:ascii="宋体" w:hAnsi="宋体" w:eastAsia="宋体" w:cs="宋体"/>
          <w:b/>
          <w:bCs/>
          <w:color w:val="333333"/>
          <w:kern w:val="0"/>
          <w:sz w:val="36"/>
          <w:szCs w:val="36"/>
        </w:rPr>
        <w:t>2020年下城区城管局政府信息公开工作年度工作</w:t>
      </w:r>
    </w:p>
    <w:p>
      <w:pPr>
        <w:widowControl/>
        <w:shd w:val="clear" w:color="auto" w:fill="FFFFFF"/>
        <w:jc w:val="center"/>
        <w:rPr>
          <w:rFonts w:ascii="宋体" w:hAnsi="宋体" w:eastAsia="宋体" w:cs="宋体"/>
          <w:color w:val="333333"/>
          <w:kern w:val="0"/>
          <w:sz w:val="24"/>
        </w:rPr>
      </w:pPr>
      <w:r>
        <w:rPr>
          <w:rFonts w:hint="eastAsia" w:ascii="宋体" w:hAnsi="宋体" w:eastAsia="宋体" w:cs="宋体"/>
          <w:b/>
          <w:bCs/>
          <w:color w:val="333333"/>
          <w:kern w:val="0"/>
          <w:sz w:val="36"/>
          <w:szCs w:val="36"/>
        </w:rPr>
        <w:t>报告</w:t>
      </w:r>
    </w:p>
    <w:p>
      <w:pPr>
        <w:widowControl/>
        <w:shd w:val="clear" w:color="auto" w:fill="FFFFFF"/>
        <w:ind w:firstLine="480"/>
        <w:rPr>
          <w:rFonts w:ascii="宋体" w:hAnsi="宋体" w:eastAsia="宋体" w:cs="宋体"/>
          <w:color w:val="333333"/>
          <w:kern w:val="0"/>
          <w:sz w:val="24"/>
        </w:rPr>
      </w:pPr>
    </w:p>
    <w:p>
      <w:pPr>
        <w:widowControl/>
        <w:numPr>
          <w:ilvl w:val="0"/>
          <w:numId w:val="1"/>
        </w:numPr>
        <w:shd w:val="clear" w:color="auto" w:fill="FFFFFF"/>
        <w:ind w:firstLine="480"/>
        <w:rPr>
          <w:rFonts w:ascii="黑体" w:hAnsi="黑体" w:eastAsia="黑体" w:cs="黑体"/>
          <w:color w:val="333333"/>
          <w:kern w:val="0"/>
          <w:sz w:val="32"/>
          <w:szCs w:val="32"/>
        </w:rPr>
      </w:pPr>
      <w:r>
        <w:rPr>
          <w:rFonts w:hint="eastAsia" w:ascii="黑体" w:hAnsi="黑体" w:eastAsia="黑体" w:cs="黑体"/>
          <w:color w:val="333333"/>
          <w:kern w:val="0"/>
          <w:sz w:val="32"/>
          <w:szCs w:val="32"/>
        </w:rPr>
        <w:t>总体情况</w:t>
      </w:r>
    </w:p>
    <w:p>
      <w:pPr>
        <w:widowControl/>
        <w:shd w:val="clear" w:color="auto" w:fill="FFFFFF"/>
        <w:ind w:firstLine="640" w:firstLineChars="200"/>
        <w:rPr>
          <w:rFonts w:ascii="仿宋" w:hAnsi="仿宋" w:eastAsia="仿宋" w:cs="仿宋"/>
          <w:color w:val="333333"/>
          <w:kern w:val="0"/>
          <w:sz w:val="32"/>
          <w:szCs w:val="32"/>
        </w:rPr>
      </w:pPr>
      <w:r>
        <w:rPr>
          <w:rFonts w:hint="eastAsia" w:ascii="仿宋" w:hAnsi="仿宋" w:eastAsia="仿宋" w:cs="仿宋"/>
          <w:color w:val="333333"/>
          <w:kern w:val="0"/>
          <w:sz w:val="32"/>
          <w:szCs w:val="32"/>
        </w:rPr>
        <w:t>2020年，我局以习近平新时代中国特色社会主义思想为指导，按照《中华人民共和国政府信息公开条例》、《关于政府信息公开工作年度报告有关事项的通知》（国办公开办函〔2019〕60号）要求，紧紧围绕区委、区政府中心工作和群众关切，坚持“公开为常态、不公开为例外”原则，以提升政务公开工作质量为主线，切实抓好政策解读和回应群众关切，不断加大创新力度，优化工作流程，拓宽工作渠道，有效地提高了城市管理工作透明度，为市民群众了解城管、理解城管、监督城管工作以及更好地服务市民群众提供了便利。</w:t>
      </w:r>
    </w:p>
    <w:p>
      <w:pPr>
        <w:pStyle w:val="6"/>
        <w:shd w:val="clear" w:color="auto" w:fill="FFFFFF"/>
        <w:spacing w:before="0" w:beforeAutospacing="0" w:after="0" w:afterAutospacing="0" w:line="580" w:lineRule="exact"/>
        <w:ind w:firstLine="640" w:firstLineChars="200"/>
        <w:rPr>
          <w:rFonts w:ascii="楷体" w:hAnsi="楷体" w:eastAsia="楷体" w:cs="楷体"/>
          <w:kern w:val="2"/>
          <w:sz w:val="32"/>
          <w:szCs w:val="32"/>
        </w:rPr>
      </w:pPr>
      <w:r>
        <w:rPr>
          <w:rFonts w:hint="eastAsia" w:ascii="楷体" w:hAnsi="楷体" w:eastAsia="楷体" w:cs="楷体"/>
          <w:kern w:val="2"/>
          <w:sz w:val="32"/>
          <w:szCs w:val="32"/>
        </w:rPr>
        <w:t>（一）政务公开工作制度建设及主动公开工作情况</w:t>
      </w:r>
    </w:p>
    <w:p>
      <w:pPr>
        <w:widowControl/>
        <w:spacing w:line="580" w:lineRule="exact"/>
        <w:ind w:firstLine="640" w:firstLineChars="200"/>
        <w:jc w:val="left"/>
        <w:rPr>
          <w:rFonts w:ascii="仿宋" w:hAnsi="仿宋" w:eastAsia="仿宋" w:cs="仿宋"/>
          <w:kern w:val="0"/>
          <w:sz w:val="32"/>
          <w:szCs w:val="32"/>
        </w:rPr>
      </w:pPr>
      <w:r>
        <w:rPr>
          <w:rFonts w:hint="eastAsia" w:ascii="仿宋" w:hAnsi="仿宋" w:eastAsia="仿宋" w:cs="仿宋"/>
          <w:sz w:val="32"/>
          <w:szCs w:val="32"/>
        </w:rPr>
        <w:t>我局积极构筑政务公开工作长效机制</w:t>
      </w:r>
      <w:r>
        <w:rPr>
          <w:rFonts w:hint="eastAsia" w:ascii="仿宋" w:hAnsi="仿宋" w:eastAsia="仿宋" w:cs="仿宋"/>
          <w:sz w:val="32"/>
          <w:szCs w:val="32"/>
          <w:shd w:val="clear" w:color="auto" w:fill="FFFFFF"/>
        </w:rPr>
        <w:t>，严格按照《</w:t>
      </w:r>
      <w:r>
        <w:rPr>
          <w:rFonts w:hint="eastAsia" w:ascii="仿宋" w:hAnsi="仿宋" w:eastAsia="仿宋" w:cs="仿宋"/>
          <w:sz w:val="32"/>
          <w:szCs w:val="32"/>
        </w:rPr>
        <w:t>城管局“五公开”纳入办文办会工作制度》、</w:t>
      </w:r>
      <w:r>
        <w:rPr>
          <w:rFonts w:hint="eastAsia" w:ascii="仿宋" w:hAnsi="仿宋" w:eastAsia="仿宋" w:cs="仿宋"/>
          <w:kern w:val="0"/>
          <w:sz w:val="32"/>
          <w:szCs w:val="32"/>
        </w:rPr>
        <w:t>《城管局社会公众代表列席政府会议制度》、《城管局政策文件解读实施办法》等一系列政务公开的制度执行，</w:t>
      </w:r>
      <w:r>
        <w:rPr>
          <w:rFonts w:hint="eastAsia" w:ascii="仿宋" w:hAnsi="仿宋" w:eastAsia="仿宋" w:cs="仿宋"/>
          <w:sz w:val="32"/>
          <w:szCs w:val="32"/>
        </w:rPr>
        <w:t>不断完善和规范政务公开工作</w:t>
      </w:r>
      <w:r>
        <w:rPr>
          <w:rFonts w:hint="eastAsia" w:ascii="仿宋" w:hAnsi="仿宋" w:eastAsia="仿宋" w:cs="仿宋"/>
          <w:kern w:val="0"/>
          <w:sz w:val="32"/>
          <w:szCs w:val="32"/>
        </w:rPr>
        <w:t>。同时，延续了由局办公室负责政府政务公开工作的日常协调、督办，各科室、部门通力协作、密切配合的政务公开运作机制。</w:t>
      </w:r>
    </w:p>
    <w:p>
      <w:pPr>
        <w:widowControl/>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我局把政府信息主动公开工作作为推进依法行政的重要手段，不断扩大公开范围，细化公开内容。通过下城区门户网站</w:t>
      </w:r>
      <w:r>
        <w:rPr>
          <w:rFonts w:hint="eastAsia" w:ascii="仿宋" w:hAnsi="仿宋" w:eastAsia="仿宋" w:cs="仿宋"/>
          <w:kern w:val="0"/>
          <w:sz w:val="32"/>
          <w:szCs w:val="32"/>
        </w:rPr>
        <w:t>主动公开本单位常规工作信息，包括机构设置、主要职能以及年度工作计划、工作总结、部门</w:t>
      </w:r>
      <w:r>
        <w:rPr>
          <w:rFonts w:hint="eastAsia" w:ascii="仿宋" w:hAnsi="仿宋" w:eastAsia="仿宋" w:cs="仿宋"/>
          <w:sz w:val="32"/>
          <w:szCs w:val="32"/>
        </w:rPr>
        <w:t>预决算、</w:t>
      </w:r>
      <w:r>
        <w:rPr>
          <w:rFonts w:hint="eastAsia" w:ascii="仿宋" w:hAnsi="仿宋" w:eastAsia="仿宋" w:cs="仿宋"/>
          <w:kern w:val="0"/>
          <w:sz w:val="32"/>
          <w:szCs w:val="32"/>
        </w:rPr>
        <w:t>工作动态</w:t>
      </w:r>
      <w:r>
        <w:rPr>
          <w:rFonts w:hint="eastAsia" w:ascii="仿宋" w:hAnsi="仿宋" w:eastAsia="仿宋" w:cs="仿宋"/>
          <w:sz w:val="32"/>
          <w:szCs w:val="32"/>
        </w:rPr>
        <w:t>等内容，</w:t>
      </w:r>
      <w:r>
        <w:rPr>
          <w:rFonts w:hint="eastAsia" w:ascii="仿宋" w:hAnsi="仿宋" w:eastAsia="仿宋" w:cs="仿宋"/>
          <w:kern w:val="0"/>
          <w:sz w:val="32"/>
          <w:szCs w:val="32"/>
        </w:rPr>
        <w:t>并落实专人进行更新维护和动态管理，确保公开信息的及时性和准确性</w:t>
      </w:r>
      <w:r>
        <w:rPr>
          <w:rFonts w:hint="eastAsia" w:ascii="仿宋" w:hAnsi="仿宋" w:eastAsia="仿宋" w:cs="仿宋"/>
          <w:sz w:val="32"/>
          <w:szCs w:val="32"/>
        </w:rPr>
        <w:t>。同时，开设“下城城管”双微及抖音平台，及时发布城管相关信息及重大情况通报，不断增强公开时效，提升服务水平；做好日常运营及维护，创新思路，加强市民群众参与度与认可度，强化粉丝粘性，做一个有思想、有深度、有权威、有创造的政务新媒体。不断加强与媒体沟通交流，畅通宣传渠道，树立良好城管形象。</w:t>
      </w:r>
    </w:p>
    <w:p>
      <w:pPr>
        <w:pStyle w:val="6"/>
        <w:shd w:val="clear" w:color="auto" w:fill="FFFFFF"/>
        <w:spacing w:before="0" w:beforeAutospacing="0" w:after="0" w:afterAutospacing="0" w:line="580" w:lineRule="exact"/>
        <w:ind w:firstLine="640" w:firstLineChars="200"/>
        <w:rPr>
          <w:rFonts w:ascii="仿宋" w:hAnsi="仿宋" w:eastAsia="仿宋" w:cs="仿宋"/>
          <w:sz w:val="32"/>
          <w:szCs w:val="32"/>
        </w:rPr>
      </w:pPr>
      <w:r>
        <w:rPr>
          <w:rFonts w:hint="eastAsia" w:ascii="仿宋" w:hAnsi="仿宋" w:eastAsia="仿宋" w:cs="仿宋"/>
          <w:sz w:val="32"/>
          <w:szCs w:val="32"/>
        </w:rPr>
        <w:t>全年共计主动公开各类信息913条，其中在政府网站公开138条，在政务微博公开137条，在政务微信公开142条，主流媒体公开496条。编制下城城管工作动态48期。开展城管开放日活动，接待各界人士300余人，确保了政府信息及时准确全面公开。</w:t>
      </w:r>
    </w:p>
    <w:p>
      <w:pPr>
        <w:pStyle w:val="6"/>
        <w:shd w:val="clear" w:color="auto" w:fill="FFFFFF"/>
        <w:spacing w:before="0" w:beforeAutospacing="0" w:after="0" w:afterAutospacing="0" w:line="580" w:lineRule="exact"/>
        <w:ind w:firstLine="640" w:firstLineChars="200"/>
        <w:rPr>
          <w:rFonts w:ascii="楷体" w:hAnsi="楷体" w:eastAsia="楷体" w:cs="楷体"/>
          <w:kern w:val="2"/>
          <w:sz w:val="32"/>
          <w:szCs w:val="32"/>
        </w:rPr>
      </w:pPr>
      <w:r>
        <w:rPr>
          <w:rFonts w:hint="eastAsia" w:ascii="楷体" w:hAnsi="楷体" w:eastAsia="楷体" w:cs="楷体"/>
          <w:kern w:val="2"/>
          <w:sz w:val="32"/>
          <w:szCs w:val="32"/>
        </w:rPr>
        <w:t>（二）依申请公开情况</w:t>
      </w:r>
    </w:p>
    <w:p>
      <w:pPr>
        <w:pStyle w:val="6"/>
        <w:shd w:val="clear" w:color="auto" w:fill="FFFFFF"/>
        <w:spacing w:before="0" w:beforeAutospacing="0" w:after="0" w:afterAutospacing="0" w:line="580" w:lineRule="exact"/>
        <w:ind w:firstLine="640" w:firstLineChars="200"/>
        <w:rPr>
          <w:rFonts w:ascii="仿宋" w:hAnsi="仿宋" w:eastAsia="仿宋" w:cs="仿宋"/>
          <w:kern w:val="2"/>
          <w:sz w:val="32"/>
          <w:szCs w:val="32"/>
        </w:rPr>
      </w:pPr>
      <w:r>
        <w:rPr>
          <w:rFonts w:hint="eastAsia" w:ascii="仿宋" w:hAnsi="仿宋" w:eastAsia="仿宋" w:cs="仿宋"/>
          <w:kern w:val="2"/>
          <w:sz w:val="32"/>
          <w:szCs w:val="32"/>
        </w:rPr>
        <w:t>我局进一步明确工作职责，畅通依申请公开受理渠道，完善依申请公开工作制度，规范依申请公开的受理、审查、处理、答复等工作流程。延续了由局办公室统一受理，各业务科室具体承办，政策法规科初审，分管领导审核，主要领导审定的办理机制。2020年收到依申请公开4件，由于申请材料不齐全、我局业务不涉及等原因，经过电话沟通后，申请人主动撤销2件，其余2件，我局在规定期限内做出了回复。</w:t>
      </w:r>
    </w:p>
    <w:p>
      <w:pPr>
        <w:pStyle w:val="6"/>
        <w:shd w:val="clear" w:color="auto" w:fill="FFFFFF"/>
        <w:spacing w:before="0" w:beforeAutospacing="0" w:after="0" w:afterAutospacing="0" w:line="580" w:lineRule="exact"/>
        <w:ind w:firstLine="640" w:firstLineChars="200"/>
        <w:rPr>
          <w:rFonts w:ascii="楷体" w:hAnsi="楷体" w:eastAsia="楷体" w:cs="楷体"/>
          <w:kern w:val="2"/>
          <w:sz w:val="32"/>
          <w:szCs w:val="32"/>
        </w:rPr>
      </w:pPr>
      <w:r>
        <w:rPr>
          <w:rFonts w:hint="eastAsia" w:ascii="楷体" w:hAnsi="楷体" w:eastAsia="楷体" w:cs="楷体"/>
          <w:kern w:val="2"/>
          <w:sz w:val="32"/>
          <w:szCs w:val="32"/>
        </w:rPr>
        <w:t>（三）政策解读及回应关切情况</w:t>
      </w:r>
    </w:p>
    <w:p>
      <w:pPr>
        <w:pStyle w:val="6"/>
        <w:shd w:val="clear" w:color="auto" w:fill="FFFFFF"/>
        <w:spacing w:before="0" w:beforeAutospacing="0" w:after="0" w:afterAutospacing="0" w:line="580" w:lineRule="exact"/>
        <w:ind w:firstLine="640" w:firstLineChars="200"/>
        <w:rPr>
          <w:rFonts w:ascii="仿宋" w:hAnsi="仿宋" w:eastAsia="仿宋" w:cs="仿宋"/>
          <w:sz w:val="32"/>
          <w:szCs w:val="32"/>
        </w:rPr>
      </w:pPr>
      <w:r>
        <w:rPr>
          <w:rFonts w:hint="eastAsia" w:ascii="仿宋" w:hAnsi="仿宋" w:eastAsia="仿宋" w:cs="仿宋"/>
          <w:sz w:val="32"/>
          <w:szCs w:val="32"/>
        </w:rPr>
        <w:t>一是局主要领导多次接待信访群众，耐心解读政策，认真听取与及时回应群众诉求。局信访中心实行全年无休，24小时值班，开通24小时电话热线，日夜受理群众投诉，主动解答相关政策问题，及时转达职能科室并限期答复有关业务问题，切实解决群众反映问题，给投诉群众一个满意的处理结果。</w:t>
      </w:r>
    </w:p>
    <w:p>
      <w:pPr>
        <w:spacing w:line="580" w:lineRule="exact"/>
        <w:ind w:firstLine="640" w:firstLineChars="200"/>
        <w:rPr>
          <w:rFonts w:ascii="仿宋" w:hAnsi="仿宋" w:eastAsia="仿宋" w:cs="仿宋"/>
          <w:sz w:val="32"/>
          <w:szCs w:val="32"/>
        </w:rPr>
      </w:pPr>
      <w:r>
        <w:rPr>
          <w:rFonts w:hint="eastAsia" w:ascii="仿宋" w:hAnsi="仿宋" w:eastAsia="仿宋" w:cs="仿宋"/>
          <w:kern w:val="0"/>
          <w:sz w:val="32"/>
          <w:szCs w:val="32"/>
        </w:rPr>
        <w:t>二是</w:t>
      </w:r>
      <w:r>
        <w:rPr>
          <w:rFonts w:hint="eastAsia" w:ascii="仿宋" w:hAnsi="仿宋" w:eastAsia="仿宋" w:cs="仿宋"/>
          <w:sz w:val="32"/>
          <w:szCs w:val="32"/>
        </w:rPr>
        <w:t>在日常工作中，局主要领导深入社区、路面一线，向广大居民了解犬类、油烟、广告等方面情况，征求意见，宣讲政策，并利用各种节假日、宣传日组织开展宪法宣传等普法活动。结合城管执法职能，借助报纸、电视、广播、微信公众号等媒体，深入开展与“精细化管理”、“利剑行动”、“三化四分”等重点工作相关法律法规的宣传工作。同时，根据不同的普法对象设计不同的宣传方式，提升公众互动，激发社会协同管理的主动性与积极性，提升城管宣传吸引力和感染力，为执法软环境创造了良好的宣传信息氛围。</w:t>
      </w:r>
    </w:p>
    <w:p>
      <w:pPr>
        <w:pStyle w:val="6"/>
        <w:shd w:val="clear" w:color="auto" w:fill="FFFFFF"/>
        <w:spacing w:before="0" w:beforeAutospacing="0" w:after="0" w:afterAutospacing="0" w:line="580" w:lineRule="exact"/>
        <w:ind w:firstLine="640" w:firstLineChars="200"/>
        <w:rPr>
          <w:rFonts w:ascii="楷体" w:hAnsi="楷体" w:eastAsia="楷体" w:cs="楷体"/>
          <w:kern w:val="2"/>
          <w:sz w:val="32"/>
          <w:szCs w:val="32"/>
        </w:rPr>
      </w:pPr>
      <w:r>
        <w:rPr>
          <w:rFonts w:hint="eastAsia" w:ascii="楷体" w:hAnsi="楷体" w:eastAsia="楷体" w:cs="楷体"/>
          <w:kern w:val="2"/>
          <w:sz w:val="32"/>
          <w:szCs w:val="32"/>
        </w:rPr>
        <w:t>（四）大力推进重点领域信息公开</w:t>
      </w:r>
    </w:p>
    <w:p>
      <w:pPr>
        <w:spacing w:line="360" w:lineRule="auto"/>
        <w:ind w:firstLine="640" w:firstLineChars="200"/>
        <w:rPr>
          <w:rFonts w:ascii="仿宋" w:hAnsi="仿宋" w:eastAsia="仿宋" w:cs="仿宋"/>
          <w:sz w:val="28"/>
          <w:szCs w:val="28"/>
        </w:rPr>
      </w:pPr>
      <w:r>
        <w:rPr>
          <w:rFonts w:hint="eastAsia" w:ascii="仿宋" w:hAnsi="仿宋" w:eastAsia="仿宋"/>
          <w:sz w:val="32"/>
          <w:szCs w:val="32"/>
        </w:rPr>
        <w:t>深化我局“最多跑一次”改革工作。围绕区深化“最多跑一次”改革工作目标任务，全面做好我局所有涉企事项和居民个人办事事项审批服务工作。做好我局数字化转型政务服务工作。我局59个事项已实现政务2.0收件办理，并在省政务服务网上做好实时动态调整工作；在省投资建设项目2.0平台升级</w:t>
      </w:r>
      <w:r>
        <w:rPr>
          <w:rFonts w:hint="eastAsia" w:ascii="仿宋" w:hAnsi="仿宋" w:eastAsia="仿宋" w:cs="仿宋"/>
          <w:sz w:val="32"/>
          <w:szCs w:val="32"/>
        </w:rPr>
        <w:t>3.0平台过程中，完成了我局</w:t>
      </w:r>
      <w:r>
        <w:rPr>
          <w:rFonts w:hint="eastAsia" w:ascii="仿宋" w:hAnsi="仿宋" w:eastAsia="仿宋"/>
          <w:sz w:val="32"/>
          <w:szCs w:val="32"/>
        </w:rPr>
        <w:t>市政、排水、环卫、水利管理方面的17个</w:t>
      </w:r>
      <w:r>
        <w:rPr>
          <w:rFonts w:hint="eastAsia" w:ascii="仿宋" w:hAnsi="仿宋" w:eastAsia="仿宋" w:cs="仿宋"/>
          <w:sz w:val="32"/>
          <w:szCs w:val="32"/>
        </w:rPr>
        <w:t>涉及投资建设项目审批事项的配置</w:t>
      </w:r>
      <w:r>
        <w:rPr>
          <w:rFonts w:hint="eastAsia" w:ascii="仿宋" w:hAnsi="仿宋" w:eastAsia="仿宋"/>
          <w:sz w:val="32"/>
          <w:szCs w:val="32"/>
        </w:rPr>
        <w:t>工作</w:t>
      </w:r>
      <w:r>
        <w:rPr>
          <w:rFonts w:hint="eastAsia" w:ascii="仿宋" w:hAnsi="仿宋" w:eastAsia="仿宋" w:cs="仿宋"/>
          <w:sz w:val="32"/>
          <w:szCs w:val="32"/>
        </w:rPr>
        <w:t>；在省商事制度改革中，完成了我局水利管理方面的2个涉及证照联办事项的优化调整工作；完成了企业和个人生命周期一件事的梳理工作等。</w:t>
      </w:r>
    </w:p>
    <w:p>
      <w:pPr>
        <w:pStyle w:val="6"/>
        <w:widowControl w:val="0"/>
        <w:spacing w:before="0" w:beforeAutospacing="0" w:after="0" w:afterAutospacing="0" w:line="580" w:lineRule="exact"/>
        <w:ind w:firstLine="640" w:firstLineChars="200"/>
        <w:jc w:val="both"/>
        <w:rPr>
          <w:rFonts w:ascii="楷体" w:hAnsi="楷体" w:eastAsia="楷体" w:cs="楷体"/>
          <w:kern w:val="2"/>
          <w:sz w:val="32"/>
          <w:szCs w:val="32"/>
        </w:rPr>
      </w:pPr>
      <w:r>
        <w:rPr>
          <w:rFonts w:hint="eastAsia" w:ascii="楷体" w:hAnsi="楷体" w:eastAsia="楷体" w:cs="楷体"/>
          <w:kern w:val="2"/>
          <w:sz w:val="32"/>
          <w:szCs w:val="32"/>
        </w:rPr>
        <w:t>（五）推进行政处罚信息公开</w:t>
      </w:r>
    </w:p>
    <w:p>
      <w:pPr>
        <w:pStyle w:val="6"/>
        <w:shd w:val="clear" w:color="auto" w:fill="FFFFFF"/>
        <w:spacing w:before="0" w:beforeAutospacing="0" w:after="0" w:afterAutospacing="0" w:line="580" w:lineRule="exact"/>
        <w:ind w:firstLine="640" w:firstLineChars="200"/>
        <w:rPr>
          <w:rFonts w:ascii="仿宋" w:hAnsi="仿宋" w:eastAsia="仿宋" w:cs="仿宋"/>
          <w:kern w:val="2"/>
          <w:sz w:val="32"/>
          <w:szCs w:val="32"/>
        </w:rPr>
      </w:pPr>
      <w:r>
        <w:rPr>
          <w:rFonts w:hint="eastAsia" w:ascii="仿宋" w:hAnsi="仿宋" w:eastAsia="仿宋" w:cs="仿宋"/>
          <w:kern w:val="2"/>
          <w:sz w:val="32"/>
          <w:szCs w:val="32"/>
        </w:rPr>
        <w:t>我局认真贯彻执行《浙江省行政处罚结果信息网上公开暂行办法》（省政府令第332号）和《浙江省人民政府办公厅关于做好行政处罚结果信息网上公开有关事项的通知》（浙政办发[2015]35号），全面推行行政处罚结果公开，严格按照要求落实网上公开范围、形式和内容。截至2020年12月31日，我局作出的1972件行政处罚案件信息已推送至浙江政务服务网对外公布，有效确保了行政处罚结果公开公平公正，保障了群众知情权和监督权。</w:t>
      </w:r>
    </w:p>
    <w:p>
      <w:pPr>
        <w:pStyle w:val="6"/>
        <w:shd w:val="clear" w:color="auto" w:fill="FFFFFF"/>
        <w:spacing w:before="0" w:beforeAutospacing="0" w:after="0" w:afterAutospacing="0" w:line="580" w:lineRule="exact"/>
        <w:ind w:firstLine="640" w:firstLineChars="200"/>
        <w:rPr>
          <w:rFonts w:ascii="仿宋" w:hAnsi="仿宋" w:eastAsia="仿宋" w:cs="仿宋"/>
          <w:kern w:val="2"/>
          <w:sz w:val="32"/>
          <w:szCs w:val="32"/>
        </w:rPr>
      </w:pPr>
    </w:p>
    <w:p>
      <w:pPr>
        <w:pStyle w:val="6"/>
        <w:shd w:val="clear" w:color="auto" w:fill="FFFFFF"/>
        <w:spacing w:before="0" w:beforeAutospacing="0" w:after="0" w:afterAutospacing="0" w:line="580" w:lineRule="exact"/>
        <w:ind w:firstLine="640" w:firstLineChars="200"/>
        <w:rPr>
          <w:rFonts w:ascii="仿宋" w:hAnsi="仿宋" w:eastAsia="仿宋" w:cs="仿宋"/>
          <w:kern w:val="2"/>
          <w:sz w:val="32"/>
          <w:szCs w:val="32"/>
        </w:rPr>
      </w:pPr>
    </w:p>
    <w:p>
      <w:pPr>
        <w:pStyle w:val="6"/>
        <w:shd w:val="clear" w:color="auto" w:fill="FFFFFF"/>
        <w:spacing w:before="0" w:beforeAutospacing="0" w:after="0" w:afterAutospacing="0" w:line="580" w:lineRule="exact"/>
        <w:ind w:firstLine="640" w:firstLineChars="200"/>
        <w:rPr>
          <w:rFonts w:ascii="仿宋" w:hAnsi="仿宋" w:eastAsia="仿宋" w:cs="仿宋"/>
          <w:kern w:val="2"/>
          <w:sz w:val="32"/>
          <w:szCs w:val="32"/>
        </w:rPr>
      </w:pPr>
    </w:p>
    <w:p>
      <w:pPr>
        <w:pStyle w:val="6"/>
        <w:shd w:val="clear" w:color="auto" w:fill="FFFFFF"/>
        <w:spacing w:before="0" w:beforeAutospacing="0" w:after="0" w:afterAutospacing="0" w:line="580" w:lineRule="exact"/>
        <w:ind w:firstLine="640" w:firstLineChars="200"/>
        <w:rPr>
          <w:rFonts w:ascii="仿宋" w:hAnsi="仿宋" w:eastAsia="仿宋" w:cs="仿宋"/>
          <w:kern w:val="2"/>
          <w:sz w:val="32"/>
          <w:szCs w:val="32"/>
        </w:rPr>
      </w:pPr>
    </w:p>
    <w:p>
      <w:pPr>
        <w:pStyle w:val="6"/>
        <w:shd w:val="clear" w:color="auto" w:fill="FFFFFF"/>
        <w:spacing w:before="0" w:beforeAutospacing="0" w:after="0" w:afterAutospacing="0" w:line="580" w:lineRule="exact"/>
        <w:ind w:firstLine="640" w:firstLineChars="200"/>
        <w:rPr>
          <w:rFonts w:ascii="仿宋" w:hAnsi="仿宋" w:eastAsia="仿宋" w:cs="仿宋"/>
          <w:kern w:val="2"/>
          <w:sz w:val="32"/>
          <w:szCs w:val="32"/>
        </w:rPr>
      </w:pPr>
    </w:p>
    <w:p>
      <w:pPr>
        <w:pStyle w:val="6"/>
        <w:shd w:val="clear" w:color="auto" w:fill="FFFFFF"/>
        <w:spacing w:before="0" w:beforeAutospacing="0" w:after="0" w:afterAutospacing="0" w:line="580" w:lineRule="exact"/>
        <w:ind w:firstLine="640" w:firstLineChars="200"/>
        <w:rPr>
          <w:rFonts w:ascii="仿宋" w:hAnsi="仿宋" w:eastAsia="仿宋" w:cs="仿宋"/>
          <w:kern w:val="2"/>
          <w:sz w:val="32"/>
          <w:szCs w:val="32"/>
        </w:rPr>
      </w:pPr>
    </w:p>
    <w:p>
      <w:pPr>
        <w:pStyle w:val="6"/>
        <w:shd w:val="clear" w:color="auto" w:fill="FFFFFF"/>
        <w:spacing w:before="0" w:beforeAutospacing="0" w:after="0" w:afterAutospacing="0" w:line="580" w:lineRule="exact"/>
        <w:ind w:firstLine="640" w:firstLineChars="200"/>
        <w:rPr>
          <w:rFonts w:ascii="仿宋" w:hAnsi="仿宋" w:eastAsia="仿宋" w:cs="仿宋"/>
          <w:kern w:val="2"/>
          <w:sz w:val="32"/>
          <w:szCs w:val="32"/>
        </w:rPr>
      </w:pPr>
    </w:p>
    <w:p>
      <w:pPr>
        <w:pStyle w:val="6"/>
        <w:shd w:val="clear" w:color="auto" w:fill="FFFFFF"/>
        <w:spacing w:before="0" w:beforeAutospacing="0" w:after="0" w:afterAutospacing="0" w:line="580" w:lineRule="exact"/>
        <w:ind w:firstLine="640" w:firstLineChars="200"/>
        <w:rPr>
          <w:rFonts w:ascii="仿宋" w:hAnsi="仿宋" w:eastAsia="仿宋" w:cs="仿宋"/>
          <w:kern w:val="2"/>
          <w:sz w:val="32"/>
          <w:szCs w:val="32"/>
        </w:rPr>
      </w:pPr>
    </w:p>
    <w:p>
      <w:pPr>
        <w:pStyle w:val="6"/>
        <w:shd w:val="clear" w:color="auto" w:fill="FFFFFF"/>
        <w:spacing w:before="0" w:beforeAutospacing="0" w:after="0" w:afterAutospacing="0" w:line="580" w:lineRule="exact"/>
        <w:ind w:firstLine="640" w:firstLineChars="200"/>
        <w:rPr>
          <w:rFonts w:ascii="仿宋" w:hAnsi="仿宋" w:eastAsia="仿宋" w:cs="仿宋"/>
          <w:kern w:val="2"/>
          <w:sz w:val="32"/>
          <w:szCs w:val="32"/>
        </w:rPr>
      </w:pPr>
    </w:p>
    <w:p>
      <w:pPr>
        <w:pStyle w:val="6"/>
        <w:shd w:val="clear" w:color="auto" w:fill="FFFFFF"/>
        <w:spacing w:before="0" w:beforeAutospacing="0" w:after="0" w:afterAutospacing="0" w:line="580" w:lineRule="exact"/>
        <w:ind w:firstLine="640" w:firstLineChars="200"/>
        <w:rPr>
          <w:rFonts w:ascii="仿宋" w:hAnsi="仿宋" w:eastAsia="仿宋" w:cs="仿宋"/>
          <w:kern w:val="2"/>
          <w:sz w:val="32"/>
          <w:szCs w:val="32"/>
        </w:rPr>
      </w:pPr>
    </w:p>
    <w:p>
      <w:pPr>
        <w:pStyle w:val="6"/>
        <w:shd w:val="clear" w:color="auto" w:fill="FFFFFF"/>
        <w:spacing w:before="0" w:beforeAutospacing="0" w:after="0" w:afterAutospacing="0" w:line="580" w:lineRule="exact"/>
        <w:ind w:firstLine="640" w:firstLineChars="200"/>
        <w:rPr>
          <w:rFonts w:ascii="仿宋" w:hAnsi="仿宋" w:eastAsia="仿宋" w:cs="仿宋"/>
          <w:kern w:val="2"/>
          <w:sz w:val="32"/>
          <w:szCs w:val="32"/>
        </w:rPr>
      </w:pPr>
    </w:p>
    <w:p>
      <w:pPr>
        <w:widowControl/>
        <w:shd w:val="clear" w:color="auto" w:fill="FFFFFF"/>
        <w:ind w:firstLine="480"/>
        <w:rPr>
          <w:rFonts w:ascii="宋体" w:hAnsi="宋体" w:eastAsia="宋体" w:cs="宋体"/>
          <w:color w:val="333333"/>
          <w:kern w:val="0"/>
          <w:sz w:val="24"/>
        </w:rPr>
      </w:pPr>
    </w:p>
    <w:p>
      <w:pPr>
        <w:widowControl/>
        <w:shd w:val="clear" w:color="auto" w:fill="FFFFFF"/>
        <w:spacing w:after="240"/>
        <w:ind w:firstLine="480"/>
        <w:rPr>
          <w:rFonts w:ascii="黑体" w:hAnsi="黑体" w:eastAsia="黑体" w:cs="黑体"/>
          <w:color w:val="333333"/>
          <w:kern w:val="0"/>
          <w:sz w:val="32"/>
          <w:szCs w:val="32"/>
        </w:rPr>
      </w:pPr>
      <w:r>
        <w:rPr>
          <w:rFonts w:hint="eastAsia" w:ascii="黑体" w:hAnsi="黑体" w:eastAsia="黑体" w:cs="黑体"/>
          <w:color w:val="333333"/>
          <w:kern w:val="0"/>
          <w:sz w:val="32"/>
          <w:szCs w:val="32"/>
        </w:rPr>
        <w:t>二、主动公开政府信息情况</w:t>
      </w:r>
    </w:p>
    <w:tbl>
      <w:tblPr>
        <w:tblStyle w:val="7"/>
        <w:tblW w:w="8140" w:type="dxa"/>
        <w:jc w:val="center"/>
        <w:tblLayout w:type="autofit"/>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2069</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增793</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2862</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1843</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129</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1972</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2件</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270.1783万元</w:t>
            </w:r>
          </w:p>
        </w:tc>
      </w:tr>
    </w:tbl>
    <w:p>
      <w:pPr>
        <w:widowControl/>
        <w:shd w:val="clear" w:color="auto" w:fill="FFFFFF"/>
        <w:ind w:firstLine="480"/>
        <w:rPr>
          <w:rFonts w:ascii="宋体" w:hAnsi="宋体" w:eastAsia="宋体" w:cs="宋体"/>
          <w:color w:val="333333"/>
          <w:kern w:val="0"/>
          <w:sz w:val="24"/>
        </w:rPr>
      </w:pPr>
    </w:p>
    <w:p>
      <w:pPr>
        <w:widowControl/>
        <w:shd w:val="clear" w:color="auto" w:fill="FFFFFF"/>
        <w:spacing w:after="240"/>
        <w:ind w:firstLine="480"/>
        <w:rPr>
          <w:rFonts w:ascii="宋体" w:hAnsi="宋体" w:eastAsia="宋体" w:cs="宋体"/>
          <w:b/>
          <w:bCs/>
          <w:color w:val="333333"/>
          <w:kern w:val="0"/>
          <w:sz w:val="24"/>
        </w:rPr>
      </w:pPr>
    </w:p>
    <w:p>
      <w:pPr>
        <w:widowControl/>
        <w:shd w:val="clear" w:color="auto" w:fill="FFFFFF"/>
        <w:spacing w:after="240"/>
        <w:ind w:firstLine="480"/>
        <w:rPr>
          <w:rFonts w:ascii="宋体" w:hAnsi="宋体" w:eastAsia="宋体" w:cs="宋体"/>
          <w:b/>
          <w:bCs/>
          <w:color w:val="333333"/>
          <w:kern w:val="0"/>
          <w:sz w:val="24"/>
        </w:rPr>
      </w:pPr>
    </w:p>
    <w:p>
      <w:pPr>
        <w:widowControl/>
        <w:shd w:val="clear" w:color="auto" w:fill="FFFFFF"/>
        <w:spacing w:after="240"/>
        <w:ind w:firstLine="480"/>
        <w:rPr>
          <w:rFonts w:ascii="宋体" w:hAnsi="宋体" w:eastAsia="宋体" w:cs="宋体"/>
          <w:b/>
          <w:bCs/>
          <w:color w:val="333333"/>
          <w:kern w:val="0"/>
          <w:sz w:val="24"/>
        </w:rPr>
      </w:pPr>
    </w:p>
    <w:p>
      <w:pPr>
        <w:widowControl/>
        <w:shd w:val="clear" w:color="auto" w:fill="FFFFFF"/>
        <w:spacing w:after="240"/>
        <w:ind w:firstLine="480"/>
        <w:rPr>
          <w:rFonts w:ascii="宋体" w:hAnsi="宋体" w:eastAsia="宋体" w:cs="宋体"/>
          <w:b/>
          <w:bCs/>
          <w:color w:val="333333"/>
          <w:kern w:val="0"/>
          <w:sz w:val="24"/>
        </w:rPr>
      </w:pPr>
    </w:p>
    <w:p>
      <w:pPr>
        <w:widowControl/>
        <w:shd w:val="clear" w:color="auto" w:fill="FFFFFF"/>
        <w:spacing w:after="240"/>
        <w:ind w:firstLine="480"/>
        <w:rPr>
          <w:rFonts w:ascii="宋体" w:hAnsi="宋体" w:eastAsia="宋体" w:cs="宋体"/>
          <w:b/>
          <w:bCs/>
          <w:color w:val="333333"/>
          <w:kern w:val="0"/>
          <w:sz w:val="24"/>
        </w:rPr>
      </w:pPr>
    </w:p>
    <w:p>
      <w:pPr>
        <w:widowControl/>
        <w:shd w:val="clear" w:color="auto" w:fill="FFFFFF"/>
        <w:spacing w:after="240"/>
        <w:ind w:firstLine="480"/>
        <w:rPr>
          <w:rFonts w:ascii="黑体" w:hAnsi="黑体" w:eastAsia="黑体" w:cs="黑体"/>
          <w:color w:val="333333"/>
          <w:kern w:val="0"/>
          <w:sz w:val="32"/>
          <w:szCs w:val="32"/>
        </w:rPr>
      </w:pPr>
      <w:r>
        <w:rPr>
          <w:rFonts w:hint="eastAsia" w:ascii="黑体" w:hAnsi="黑体" w:eastAsia="黑体" w:cs="黑体"/>
          <w:color w:val="333333"/>
          <w:kern w:val="0"/>
          <w:sz w:val="32"/>
          <w:szCs w:val="32"/>
        </w:rPr>
        <w:t>三、收到和处理政府信息公开申请情况</w:t>
      </w:r>
    </w:p>
    <w:p>
      <w:pPr>
        <w:widowControl/>
        <w:shd w:val="clear" w:color="auto" w:fill="FFFFFF"/>
        <w:spacing w:after="240"/>
        <w:ind w:firstLine="480"/>
        <w:rPr>
          <w:rFonts w:ascii="宋体" w:hAnsi="宋体" w:eastAsia="宋体" w:cs="宋体"/>
          <w:color w:val="333333"/>
          <w:kern w:val="0"/>
          <w:sz w:val="24"/>
        </w:rPr>
      </w:pPr>
    </w:p>
    <w:tbl>
      <w:tblPr>
        <w:tblStyle w:val="7"/>
        <w:tblW w:w="9071" w:type="dxa"/>
        <w:jc w:val="center"/>
        <w:tblLayout w:type="autofit"/>
        <w:tblCellMar>
          <w:top w:w="0" w:type="dxa"/>
          <w:left w:w="0" w:type="dxa"/>
          <w:bottom w:w="0" w:type="dxa"/>
          <w:right w:w="0" w:type="dxa"/>
        </w:tblCellMar>
      </w:tblPr>
      <w:tblGrid>
        <w:gridCol w:w="616"/>
        <w:gridCol w:w="853"/>
        <w:gridCol w:w="2085"/>
        <w:gridCol w:w="813"/>
        <w:gridCol w:w="755"/>
        <w:gridCol w:w="755"/>
        <w:gridCol w:w="813"/>
        <w:gridCol w:w="973"/>
        <w:gridCol w:w="711"/>
        <w:gridCol w:w="697"/>
      </w:tblGrid>
      <w:tr>
        <w:tblPrEx>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82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自然人</w:t>
            </w:r>
          </w:p>
        </w:tc>
        <w:tc>
          <w:tcPr>
            <w:tcW w:w="40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法人或其他组织</w:t>
            </w:r>
          </w:p>
        </w:tc>
        <w:tc>
          <w:tcPr>
            <w:tcW w:w="70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商业企业</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科研机构</w:t>
            </w:r>
          </w:p>
        </w:tc>
        <w:tc>
          <w:tcPr>
            <w:tcW w:w="8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社会公益组织</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法律服务机构</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其他</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rPr>
            </w:pP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一、本年新收政府信息公开申请数量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r>
              <w:rPr>
                <w:rFonts w:hint="eastAsia" w:ascii="Calibri" w:hAnsi="Calibri" w:eastAsia="宋体" w:cs="宋体"/>
                <w:kern w:val="0"/>
                <w:sz w:val="20"/>
                <w:szCs w:val="20"/>
              </w:rPr>
              <w:t>4</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Calibri" w:hAnsi="Calibri" w:eastAsia="宋体" w:cs="宋体"/>
                <w:kern w:val="0"/>
                <w:sz w:val="20"/>
                <w:szCs w:val="20"/>
              </w:rPr>
              <w:t>4</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二、上年结转政府信息公开申请数量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r>
              <w:rPr>
                <w:rFonts w:hint="eastAsia" w:ascii="Calibri" w:hAnsi="Calibri" w:eastAsia="宋体" w:cs="宋体"/>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Calibri" w:hAnsi="Calibri" w:eastAsia="宋体" w:cs="宋体"/>
                <w:kern w:val="0"/>
                <w:sz w:val="20"/>
                <w:szCs w:val="20"/>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三、本年度办理结果</w:t>
            </w: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楷体" w:hAnsi="楷体" w:eastAsia="楷体" w:cs="宋体"/>
                <w:kern w:val="0"/>
                <w:sz w:val="20"/>
                <w:szCs w:val="20"/>
              </w:rPr>
              <w:t>（一）予以公开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r>
              <w:rPr>
                <w:rFonts w:hint="eastAsia" w:ascii="Calibri" w:hAnsi="Calibri" w:eastAsia="宋体" w:cs="宋体"/>
                <w:kern w:val="0"/>
                <w:sz w:val="20"/>
                <w:szCs w:val="20"/>
              </w:rPr>
              <w:t>2</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Calibri" w:hAnsi="Calibri" w:eastAsia="宋体" w:cs="宋体"/>
                <w:kern w:val="0"/>
                <w:sz w:val="20"/>
                <w:szCs w:val="20"/>
              </w:rPr>
              <w:t>2</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楷体" w:hAnsi="楷体" w:eastAsia="楷体" w:cs="宋体"/>
                <w:kern w:val="0"/>
                <w:sz w:val="20"/>
                <w:szCs w:val="20"/>
              </w:rPr>
              <w:t>（二）部分公开（区分处理的，只计这一情形，不计其他情形）</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楷体" w:hAnsi="楷体" w:eastAsia="楷体" w:cs="宋体"/>
                <w:kern w:val="0"/>
                <w:sz w:val="20"/>
                <w:szCs w:val="20"/>
              </w:rPr>
              <w:t>（三）不予公开</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楷体" w:hAnsi="楷体" w:eastAsia="楷体" w:cs="宋体"/>
                <w:kern w:val="0"/>
                <w:sz w:val="20"/>
                <w:szCs w:val="20"/>
              </w:rPr>
              <w:t>1.属于国家秘密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楷体" w:hAnsi="楷体" w:eastAsia="楷体" w:cs="宋体"/>
                <w:kern w:val="0"/>
                <w:sz w:val="20"/>
                <w:szCs w:val="20"/>
              </w:rPr>
              <w:t>2.其他法律行政法规禁止公开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楷体" w:hAnsi="楷体" w:eastAsia="楷体" w:cs="宋体"/>
                <w:kern w:val="0"/>
                <w:sz w:val="20"/>
                <w:szCs w:val="20"/>
              </w:rPr>
              <w:t>3.危及“三安全一稳定”</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楷体" w:hAnsi="楷体" w:eastAsia="楷体" w:cs="宋体"/>
                <w:kern w:val="0"/>
                <w:sz w:val="20"/>
                <w:szCs w:val="20"/>
              </w:rPr>
              <w:t>4.保护第三方合法权益</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楷体" w:hAnsi="楷体" w:eastAsia="楷体" w:cs="宋体"/>
                <w:kern w:val="0"/>
                <w:sz w:val="20"/>
                <w:szCs w:val="20"/>
              </w:rPr>
              <w:t>5.属于三类内部事务信息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楷体" w:hAnsi="楷体" w:eastAsia="楷体" w:cs="宋体"/>
                <w:kern w:val="0"/>
                <w:sz w:val="20"/>
                <w:szCs w:val="20"/>
              </w:rPr>
              <w:t>6.属于四类过程性信息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楷体" w:hAnsi="楷体" w:eastAsia="楷体" w:cs="宋体"/>
                <w:kern w:val="0"/>
                <w:sz w:val="20"/>
                <w:szCs w:val="20"/>
              </w:rPr>
              <w:t>7.属于行政执法案卷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楷体" w:hAnsi="楷体" w:eastAsia="楷体" w:cs="宋体"/>
                <w:kern w:val="0"/>
                <w:sz w:val="20"/>
                <w:szCs w:val="20"/>
              </w:rPr>
              <w:t>8.属于行政查询事项</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楷体" w:hAnsi="楷体" w:eastAsia="楷体" w:cs="宋体"/>
                <w:kern w:val="0"/>
                <w:sz w:val="20"/>
                <w:szCs w:val="20"/>
              </w:rPr>
              <w:t>（四）无法提供</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楷体" w:hAnsi="楷体" w:eastAsia="楷体" w:cs="宋体"/>
                <w:kern w:val="0"/>
                <w:sz w:val="20"/>
                <w:szCs w:val="20"/>
              </w:rPr>
              <w:t>1.本机关不掌握相关政府信息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r>
              <w:rPr>
                <w:rFonts w:hint="eastAsia" w:ascii="Calibri" w:hAnsi="Calibri" w:eastAsia="宋体" w:cs="宋体"/>
                <w:kern w:val="0"/>
                <w:sz w:val="20"/>
                <w:szCs w:val="20"/>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Calibri" w:hAnsi="Calibri" w:eastAsia="宋体" w:cs="宋体"/>
                <w:kern w:val="0"/>
                <w:sz w:val="20"/>
                <w:szCs w:val="20"/>
              </w:rPr>
              <w:t>1</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楷体" w:hAnsi="楷体" w:eastAsia="楷体" w:cs="宋体"/>
                <w:kern w:val="0"/>
                <w:sz w:val="20"/>
                <w:szCs w:val="20"/>
              </w:rPr>
              <w:t>2.没有现成信息需要另行制作</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楷体" w:hAnsi="楷体" w:eastAsia="楷体" w:cs="宋体"/>
                <w:kern w:val="0"/>
                <w:sz w:val="20"/>
                <w:szCs w:val="20"/>
              </w:rPr>
              <w:t>3.补正后申请内容仍不明确</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楷体" w:hAnsi="楷体" w:eastAsia="楷体" w:cs="宋体"/>
                <w:kern w:val="0"/>
                <w:sz w:val="20"/>
                <w:szCs w:val="20"/>
              </w:rPr>
              <w:t>（五）不予处理</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楷体" w:hAnsi="楷体" w:eastAsia="楷体" w:cs="宋体"/>
                <w:kern w:val="0"/>
                <w:sz w:val="20"/>
                <w:szCs w:val="20"/>
              </w:rPr>
              <w:t>1.信访举报投诉类申请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楷体" w:hAnsi="楷体" w:eastAsia="楷体" w:cs="宋体"/>
                <w:kern w:val="0"/>
                <w:sz w:val="20"/>
                <w:szCs w:val="20"/>
              </w:rPr>
              <w:t>2.重复申请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r>
              <w:rPr>
                <w:rFonts w:hint="eastAsia" w:ascii="Calibri" w:hAnsi="Calibri" w:eastAsia="宋体" w:cs="宋体"/>
                <w:kern w:val="0"/>
                <w:sz w:val="20"/>
                <w:szCs w:val="20"/>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Calibri" w:hAnsi="Calibri" w:eastAsia="宋体" w:cs="宋体"/>
                <w:kern w:val="0"/>
                <w:sz w:val="20"/>
                <w:szCs w:val="20"/>
              </w:rPr>
              <w:t>1</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楷体" w:hAnsi="楷体" w:eastAsia="楷体" w:cs="宋体"/>
                <w:kern w:val="0"/>
                <w:sz w:val="20"/>
                <w:szCs w:val="20"/>
              </w:rPr>
              <w:t>3.要求提供公开出版物</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楷体" w:hAnsi="楷体" w:eastAsia="楷体" w:cs="宋体"/>
                <w:kern w:val="0"/>
                <w:sz w:val="20"/>
                <w:szCs w:val="20"/>
              </w:rPr>
              <w:t>4.无正当理由大量反复申请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楷体" w:hAnsi="楷体" w:eastAsia="楷体" w:cs="宋体"/>
                <w:kern w:val="0"/>
                <w:sz w:val="20"/>
                <w:szCs w:val="20"/>
              </w:rPr>
              <w:t>5.要求行政机关确认或重新出具已获取信息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楷体" w:hAnsi="楷体" w:eastAsia="楷体" w:cs="宋体"/>
                <w:kern w:val="0"/>
                <w:sz w:val="20"/>
                <w:szCs w:val="20"/>
              </w:rPr>
              <w:t>（六）其他处理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楷体" w:hAnsi="楷体" w:eastAsia="楷体" w:cs="宋体"/>
                <w:kern w:val="0"/>
                <w:sz w:val="20"/>
                <w:szCs w:val="20"/>
              </w:rPr>
              <w:t>（七）总计</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r>
              <w:rPr>
                <w:rFonts w:hint="eastAsia" w:ascii="Calibri" w:hAnsi="Calibri" w:eastAsia="宋体" w:cs="宋体"/>
                <w:kern w:val="0"/>
                <w:sz w:val="20"/>
                <w:szCs w:val="20"/>
              </w:rPr>
              <w:t>4</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r>
              <w:rPr>
                <w:rFonts w:hint="eastAsia" w:ascii="Calibri" w:hAnsi="Calibri" w:eastAsia="宋体" w:cs="宋体"/>
                <w:kern w:val="0"/>
                <w:sz w:val="20"/>
                <w:szCs w:val="20"/>
              </w:rPr>
              <w:t>4</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四、结转下年度继续办理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r>
              <w:rPr>
                <w:rFonts w:hint="eastAsia" w:ascii="Calibri" w:hAnsi="Calibri" w:eastAsia="宋体" w:cs="宋体"/>
                <w:kern w:val="0"/>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200" w:firstLineChars="100"/>
              <w:jc w:val="left"/>
              <w:rPr>
                <w:rFonts w:ascii="宋体" w:hAnsi="宋体" w:eastAsia="宋体" w:cs="宋体"/>
                <w:kern w:val="0"/>
                <w:sz w:val="24"/>
              </w:rPr>
            </w:pPr>
            <w:r>
              <w:rPr>
                <w:rFonts w:hint="eastAsia" w:ascii="Calibri" w:hAnsi="Calibri" w:eastAsia="宋体" w:cs="宋体"/>
                <w:kern w:val="0"/>
                <w:sz w:val="20"/>
                <w:szCs w:val="20"/>
              </w:rPr>
              <w:t>0</w:t>
            </w:r>
          </w:p>
        </w:tc>
      </w:tr>
    </w:tbl>
    <w:p>
      <w:pPr>
        <w:widowControl/>
        <w:shd w:val="clear" w:color="auto" w:fill="FFFFFF"/>
        <w:ind w:firstLine="480"/>
        <w:rPr>
          <w:rFonts w:ascii="宋体" w:hAnsi="宋体" w:eastAsia="宋体" w:cs="宋体"/>
          <w:color w:val="333333"/>
          <w:kern w:val="0"/>
          <w:sz w:val="24"/>
        </w:rPr>
      </w:pPr>
    </w:p>
    <w:p>
      <w:pPr>
        <w:widowControl/>
        <w:shd w:val="clear" w:color="auto" w:fill="FFFFFF"/>
        <w:ind w:firstLine="480"/>
        <w:rPr>
          <w:rFonts w:ascii="黑体" w:hAnsi="黑体" w:eastAsia="黑体" w:cs="黑体"/>
          <w:color w:val="333333"/>
          <w:kern w:val="0"/>
          <w:sz w:val="32"/>
          <w:szCs w:val="32"/>
        </w:rPr>
      </w:pPr>
      <w:r>
        <w:rPr>
          <w:rFonts w:hint="eastAsia" w:ascii="黑体" w:hAnsi="黑体" w:eastAsia="黑体" w:cs="黑体"/>
          <w:color w:val="333333"/>
          <w:kern w:val="0"/>
          <w:sz w:val="32"/>
          <w:szCs w:val="32"/>
        </w:rPr>
        <w:t>四、政府信息公开行政复议、行政诉讼情况</w:t>
      </w:r>
    </w:p>
    <w:p>
      <w:pPr>
        <w:widowControl/>
        <w:shd w:val="clear" w:color="auto" w:fill="FFFFFF"/>
        <w:ind w:firstLine="480"/>
        <w:rPr>
          <w:rFonts w:ascii="宋体" w:hAnsi="宋体" w:eastAsia="宋体" w:cs="宋体"/>
          <w:color w:val="333333"/>
          <w:kern w:val="0"/>
          <w:sz w:val="24"/>
        </w:rPr>
      </w:pPr>
    </w:p>
    <w:tbl>
      <w:tblPr>
        <w:tblStyle w:val="7"/>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r>
              <w:rPr>
                <w:rFonts w:hint="eastAsia" w:ascii="Calibri" w:hAnsi="Calibri" w:eastAsia="宋体" w:cs="宋体"/>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Calibri" w:hAnsi="Calibri" w:eastAsia="宋体" w:cs="宋体"/>
                <w:kern w:val="0"/>
                <w:sz w:val="20"/>
                <w:szCs w:val="20"/>
              </w:rPr>
              <w:t> </w:t>
            </w:r>
            <w:r>
              <w:rPr>
                <w:rFonts w:hint="eastAsia" w:ascii="Calibri" w:hAnsi="Calibri" w:eastAsia="宋体" w:cs="宋体"/>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Calibri" w:hAnsi="Calibri" w:eastAsia="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Calibri" w:hAnsi="Calibri" w:eastAsia="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Calibri" w:hAnsi="Calibri" w:eastAsia="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Calibri" w:hAnsi="Calibri" w:eastAsia="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Calibri" w:hAnsi="Calibri" w:eastAsia="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Calibri" w:hAnsi="Calibri" w:eastAsia="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Calibri" w:hAnsi="Calibri" w:eastAsia="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Calibri" w:hAnsi="Calibri" w:eastAsia="宋体" w:cs="宋体"/>
                <w:kern w:val="0"/>
                <w:sz w:val="20"/>
                <w:szCs w:val="20"/>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Calibri" w:hAnsi="Calibri" w:eastAsia="宋体" w:cs="宋体"/>
                <w:kern w:val="0"/>
                <w:sz w:val="20"/>
                <w:szCs w:val="20"/>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Calibri" w:hAnsi="Calibri" w:eastAsia="宋体" w:cs="宋体"/>
                <w:kern w:val="0"/>
                <w:sz w:val="20"/>
                <w:szCs w:val="20"/>
              </w:rPr>
              <w:t>0</w:t>
            </w:r>
          </w:p>
        </w:tc>
      </w:tr>
    </w:tbl>
    <w:p>
      <w:pPr>
        <w:widowControl/>
        <w:shd w:val="clear" w:color="auto" w:fill="FFFFFF"/>
        <w:jc w:val="center"/>
        <w:rPr>
          <w:rFonts w:ascii="宋体" w:hAnsi="宋体" w:eastAsia="宋体" w:cs="宋体"/>
          <w:color w:val="333333"/>
          <w:kern w:val="0"/>
          <w:sz w:val="24"/>
        </w:rPr>
      </w:pPr>
    </w:p>
    <w:p>
      <w:pPr>
        <w:widowControl/>
        <w:shd w:val="clear" w:color="auto" w:fill="FFFFFF"/>
        <w:ind w:firstLine="480"/>
        <w:rPr>
          <w:rFonts w:ascii="黑体" w:hAnsi="黑体" w:eastAsia="黑体" w:cs="黑体"/>
          <w:color w:val="333333"/>
          <w:kern w:val="0"/>
          <w:sz w:val="32"/>
          <w:szCs w:val="32"/>
        </w:rPr>
      </w:pPr>
      <w:r>
        <w:rPr>
          <w:rFonts w:hint="eastAsia" w:ascii="黑体" w:hAnsi="黑体" w:eastAsia="黑体" w:cs="黑体"/>
          <w:color w:val="333333"/>
          <w:kern w:val="0"/>
          <w:sz w:val="32"/>
          <w:szCs w:val="32"/>
        </w:rPr>
        <w:t>五、存在的主要问题及改进情况</w:t>
      </w:r>
    </w:p>
    <w:p>
      <w:pPr>
        <w:spacing w:line="58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rPr>
        <w:t>2020年，我局在深入推进政府政务公开工作方面取得了一定的成绩，但还存在公开范围、公开内容、监督机制有待进一步加强等问题。在2021年政务公开工作中，我局将更注重人民需求，</w:t>
      </w:r>
      <w:r>
        <w:rPr>
          <w:rFonts w:hint="eastAsia" w:ascii="仿宋" w:hAnsi="仿宋" w:eastAsia="仿宋" w:cs="仿宋"/>
          <w:sz w:val="32"/>
          <w:szCs w:val="32"/>
          <w:shd w:val="clear" w:color="auto" w:fill="FFFFFF"/>
        </w:rPr>
        <w:t>根据新形势新任务新要求，继续大力推进政务公开工作，做好以下三方面工作：</w:t>
      </w:r>
    </w:p>
    <w:p>
      <w:pPr>
        <w:spacing w:line="580" w:lineRule="exact"/>
        <w:ind w:firstLine="640" w:firstLineChars="200"/>
        <w:rPr>
          <w:rFonts w:ascii="仿宋" w:hAnsi="仿宋" w:eastAsia="仿宋" w:cs="仿宋"/>
          <w:kern w:val="0"/>
          <w:sz w:val="32"/>
          <w:szCs w:val="32"/>
          <w:shd w:val="clear" w:color="auto" w:fill="FFFFFF"/>
        </w:rPr>
      </w:pPr>
      <w:r>
        <w:rPr>
          <w:rFonts w:hint="eastAsia" w:ascii="仿宋" w:hAnsi="仿宋" w:eastAsia="仿宋" w:cs="仿宋"/>
          <w:sz w:val="32"/>
          <w:szCs w:val="32"/>
          <w:shd w:val="clear" w:color="auto" w:fill="FFFFFF"/>
        </w:rPr>
        <w:t>1、加强政务公开组织领导。进</w:t>
      </w:r>
      <w:r>
        <w:rPr>
          <w:rFonts w:hint="eastAsia" w:ascii="仿宋" w:hAnsi="仿宋" w:eastAsia="仿宋" w:cs="仿宋"/>
          <w:kern w:val="0"/>
          <w:sz w:val="32"/>
          <w:szCs w:val="32"/>
          <w:shd w:val="clear" w:color="auto" w:fill="FFFFFF"/>
        </w:rPr>
        <w:t>一步加强政务公开工作机构和队伍建设，通过明晰职能职责、加强队伍培训、强化监督考核等推动政务公开工作深入开展。</w:t>
      </w:r>
    </w:p>
    <w:p>
      <w:pPr>
        <w:spacing w:line="58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2、创新政府信息公开方式。不断调整优化“下城城管”双微和抖音平台等信息发布载体，强化媒体宣传，不断拓宽公开渠道。以便民为原则，认真创新政务公开的新载体、新形式，使政务公开的形式更加灵活多样。对涉及社会公众利益的重大政策和重要事项做到及时公开，加大政策宣传力度，推动政策落实。</w:t>
      </w:r>
    </w:p>
    <w:p>
      <w:pPr>
        <w:spacing w:line="580" w:lineRule="exact"/>
        <w:ind w:firstLine="640" w:firstLineChars="200"/>
        <w:rPr>
          <w:rFonts w:ascii="仿宋" w:hAnsi="仿宋" w:eastAsia="仿宋" w:cs="仿宋"/>
          <w:kern w:val="0"/>
          <w:sz w:val="32"/>
          <w:szCs w:val="32"/>
          <w:shd w:val="clear" w:color="auto" w:fill="FFFFFF"/>
        </w:rPr>
      </w:pPr>
      <w:r>
        <w:rPr>
          <w:rFonts w:hint="eastAsia" w:ascii="仿宋" w:hAnsi="仿宋" w:eastAsia="仿宋" w:cs="仿宋"/>
          <w:sz w:val="32"/>
          <w:szCs w:val="32"/>
          <w:shd w:val="clear" w:color="auto" w:fill="FFFFFF"/>
        </w:rPr>
        <w:t>3、深化信息公开考核监督。进一步</w:t>
      </w:r>
      <w:r>
        <w:rPr>
          <w:rFonts w:hint="eastAsia" w:ascii="仿宋" w:hAnsi="仿宋" w:eastAsia="仿宋" w:cs="仿宋"/>
          <w:sz w:val="32"/>
          <w:szCs w:val="32"/>
          <w:shd w:val="clear" w:color="auto" w:fill="FFFFFF"/>
          <w:lang w:val="en-US" w:eastAsia="zh-CN"/>
        </w:rPr>
        <w:t>健全</w:t>
      </w:r>
      <w:bookmarkStart w:id="0" w:name="_GoBack"/>
      <w:bookmarkEnd w:id="0"/>
      <w:r>
        <w:rPr>
          <w:rFonts w:hint="eastAsia" w:ascii="仿宋" w:hAnsi="仿宋" w:eastAsia="仿宋" w:cs="仿宋"/>
          <w:sz w:val="32"/>
          <w:szCs w:val="32"/>
          <w:shd w:val="clear" w:color="auto" w:fill="FFFFFF"/>
        </w:rPr>
        <w:t>考核监督机制，对政府信息公开内容、便民程度以及公开的效果、群众的满意度、群众意见建议和投诉处理的落实情况等定期进行综合评议、考核，完善责任追</w:t>
      </w:r>
      <w:r>
        <w:rPr>
          <w:rFonts w:hint="eastAsia" w:ascii="仿宋" w:hAnsi="仿宋" w:eastAsia="仿宋" w:cs="仿宋"/>
          <w:kern w:val="0"/>
          <w:sz w:val="32"/>
          <w:szCs w:val="32"/>
          <w:shd w:val="clear" w:color="auto" w:fill="FFFFFF"/>
        </w:rPr>
        <w:t>究机制，推动政府信息公开工作深入开展。</w:t>
      </w:r>
    </w:p>
    <w:p>
      <w:pPr>
        <w:spacing w:line="580" w:lineRule="exact"/>
        <w:ind w:firstLine="640" w:firstLineChars="200"/>
        <w:rPr>
          <w:rFonts w:ascii="仿宋" w:hAnsi="仿宋" w:eastAsia="仿宋" w:cs="仿宋"/>
          <w:sz w:val="32"/>
          <w:szCs w:val="32"/>
        </w:rPr>
      </w:pPr>
    </w:p>
    <w:p>
      <w:pPr>
        <w:widowControl/>
        <w:shd w:val="clear" w:color="auto" w:fill="FFFFFF"/>
        <w:ind w:firstLine="480"/>
        <w:rPr>
          <w:rFonts w:ascii="黑体" w:hAnsi="黑体" w:eastAsia="黑体" w:cs="黑体"/>
          <w:color w:val="333333"/>
          <w:kern w:val="0"/>
          <w:sz w:val="32"/>
          <w:szCs w:val="32"/>
        </w:rPr>
      </w:pPr>
      <w:r>
        <w:rPr>
          <w:rFonts w:hint="eastAsia" w:ascii="黑体" w:hAnsi="黑体" w:eastAsia="黑体" w:cs="黑体"/>
          <w:color w:val="333333"/>
          <w:kern w:val="0"/>
          <w:sz w:val="32"/>
          <w:szCs w:val="32"/>
        </w:rPr>
        <w:t>六、其他需要报告的事项</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无</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cs="宋体"/>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0F1D8D"/>
    <w:multiLevelType w:val="singleLevel"/>
    <w:tmpl w:val="970F1D8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2MDAyNGE2Mzg1M2EzODVkYzhkMzdkNDY2MWM5ZTYifQ=="/>
  </w:docVars>
  <w:rsids>
    <w:rsidRoot w:val="00DA332F"/>
    <w:rsid w:val="00001DFA"/>
    <w:rsid w:val="00027A1A"/>
    <w:rsid w:val="000B0043"/>
    <w:rsid w:val="000C10ED"/>
    <w:rsid w:val="000D71F1"/>
    <w:rsid w:val="00136D07"/>
    <w:rsid w:val="00151CB6"/>
    <w:rsid w:val="001569AA"/>
    <w:rsid w:val="001810AE"/>
    <w:rsid w:val="001954DA"/>
    <w:rsid w:val="001B3F23"/>
    <w:rsid w:val="001B4610"/>
    <w:rsid w:val="001B4B48"/>
    <w:rsid w:val="001E0FC3"/>
    <w:rsid w:val="0020669F"/>
    <w:rsid w:val="00233B8A"/>
    <w:rsid w:val="00234358"/>
    <w:rsid w:val="002E2696"/>
    <w:rsid w:val="002E3345"/>
    <w:rsid w:val="002E49C4"/>
    <w:rsid w:val="003A38C8"/>
    <w:rsid w:val="003D6F53"/>
    <w:rsid w:val="003F6EF7"/>
    <w:rsid w:val="00420E10"/>
    <w:rsid w:val="00507CF5"/>
    <w:rsid w:val="00524592"/>
    <w:rsid w:val="0056138C"/>
    <w:rsid w:val="0056356B"/>
    <w:rsid w:val="0060005B"/>
    <w:rsid w:val="006138C0"/>
    <w:rsid w:val="006141D5"/>
    <w:rsid w:val="00662487"/>
    <w:rsid w:val="006663EC"/>
    <w:rsid w:val="006A3B74"/>
    <w:rsid w:val="006F2E59"/>
    <w:rsid w:val="007C127F"/>
    <w:rsid w:val="007D49F1"/>
    <w:rsid w:val="007F768B"/>
    <w:rsid w:val="00846538"/>
    <w:rsid w:val="008E02E1"/>
    <w:rsid w:val="00947970"/>
    <w:rsid w:val="00950C7A"/>
    <w:rsid w:val="00974792"/>
    <w:rsid w:val="009818B0"/>
    <w:rsid w:val="00A008FA"/>
    <w:rsid w:val="00A10B40"/>
    <w:rsid w:val="00A144A0"/>
    <w:rsid w:val="00A22363"/>
    <w:rsid w:val="00A25985"/>
    <w:rsid w:val="00A2755E"/>
    <w:rsid w:val="00A37336"/>
    <w:rsid w:val="00A7299A"/>
    <w:rsid w:val="00AE1202"/>
    <w:rsid w:val="00B07AC4"/>
    <w:rsid w:val="00B25C04"/>
    <w:rsid w:val="00B35573"/>
    <w:rsid w:val="00B35E29"/>
    <w:rsid w:val="00B545AA"/>
    <w:rsid w:val="00B613EE"/>
    <w:rsid w:val="00B85D68"/>
    <w:rsid w:val="00BC411B"/>
    <w:rsid w:val="00C22E59"/>
    <w:rsid w:val="00C445AC"/>
    <w:rsid w:val="00CF10C3"/>
    <w:rsid w:val="00D64087"/>
    <w:rsid w:val="00D749BE"/>
    <w:rsid w:val="00D85D90"/>
    <w:rsid w:val="00D93D45"/>
    <w:rsid w:val="00DA332F"/>
    <w:rsid w:val="00DD50B9"/>
    <w:rsid w:val="00DF19AD"/>
    <w:rsid w:val="00E2610A"/>
    <w:rsid w:val="00E43D8E"/>
    <w:rsid w:val="00E4498B"/>
    <w:rsid w:val="00ED6930"/>
    <w:rsid w:val="00F1208B"/>
    <w:rsid w:val="00F13CA9"/>
    <w:rsid w:val="00F5520C"/>
    <w:rsid w:val="00F560E3"/>
    <w:rsid w:val="00FA571C"/>
    <w:rsid w:val="00FB00E3"/>
    <w:rsid w:val="00FB354B"/>
    <w:rsid w:val="020E6EBB"/>
    <w:rsid w:val="02447C72"/>
    <w:rsid w:val="05003DF9"/>
    <w:rsid w:val="05B20D58"/>
    <w:rsid w:val="06E82852"/>
    <w:rsid w:val="073B50B1"/>
    <w:rsid w:val="07625374"/>
    <w:rsid w:val="07B5684A"/>
    <w:rsid w:val="08813AAD"/>
    <w:rsid w:val="093C7589"/>
    <w:rsid w:val="0EC02DA0"/>
    <w:rsid w:val="118519F8"/>
    <w:rsid w:val="12D95AD7"/>
    <w:rsid w:val="134E7088"/>
    <w:rsid w:val="13D169E2"/>
    <w:rsid w:val="13F2448D"/>
    <w:rsid w:val="15B979C2"/>
    <w:rsid w:val="16B47DF4"/>
    <w:rsid w:val="16C90B70"/>
    <w:rsid w:val="16FE695A"/>
    <w:rsid w:val="170517E2"/>
    <w:rsid w:val="173805EB"/>
    <w:rsid w:val="19855762"/>
    <w:rsid w:val="198D4848"/>
    <w:rsid w:val="1A363A0E"/>
    <w:rsid w:val="1A5D6335"/>
    <w:rsid w:val="1B2B236B"/>
    <w:rsid w:val="1B62359C"/>
    <w:rsid w:val="20532EB0"/>
    <w:rsid w:val="23E2002F"/>
    <w:rsid w:val="26385BDF"/>
    <w:rsid w:val="277A2FC1"/>
    <w:rsid w:val="283B7550"/>
    <w:rsid w:val="2966399E"/>
    <w:rsid w:val="2B646F1A"/>
    <w:rsid w:val="2B9F14E8"/>
    <w:rsid w:val="2BFF5405"/>
    <w:rsid w:val="2D924E5C"/>
    <w:rsid w:val="2E603BAD"/>
    <w:rsid w:val="2F0E58CB"/>
    <w:rsid w:val="2F134968"/>
    <w:rsid w:val="301973EF"/>
    <w:rsid w:val="329D32A1"/>
    <w:rsid w:val="33603C4B"/>
    <w:rsid w:val="3415190F"/>
    <w:rsid w:val="355063DA"/>
    <w:rsid w:val="368202C1"/>
    <w:rsid w:val="38153173"/>
    <w:rsid w:val="388440A6"/>
    <w:rsid w:val="39550C8F"/>
    <w:rsid w:val="3D0831AD"/>
    <w:rsid w:val="3E40410F"/>
    <w:rsid w:val="3F9E227E"/>
    <w:rsid w:val="47F02635"/>
    <w:rsid w:val="480D3ACA"/>
    <w:rsid w:val="48CD7CF2"/>
    <w:rsid w:val="48CF1182"/>
    <w:rsid w:val="49CE5EC7"/>
    <w:rsid w:val="49CF10B9"/>
    <w:rsid w:val="4A6C2095"/>
    <w:rsid w:val="4B8B65A5"/>
    <w:rsid w:val="4BCC53AA"/>
    <w:rsid w:val="4C25426E"/>
    <w:rsid w:val="4D8D55CF"/>
    <w:rsid w:val="4DED1613"/>
    <w:rsid w:val="4F496C18"/>
    <w:rsid w:val="4F51078F"/>
    <w:rsid w:val="51465AD9"/>
    <w:rsid w:val="51895F4A"/>
    <w:rsid w:val="523C3ED5"/>
    <w:rsid w:val="53483CC1"/>
    <w:rsid w:val="54092BE1"/>
    <w:rsid w:val="54786EC8"/>
    <w:rsid w:val="54A82FC3"/>
    <w:rsid w:val="54AF7FD7"/>
    <w:rsid w:val="55594FAD"/>
    <w:rsid w:val="571C370A"/>
    <w:rsid w:val="57602C9A"/>
    <w:rsid w:val="58307C5F"/>
    <w:rsid w:val="5A9E234F"/>
    <w:rsid w:val="5AA86299"/>
    <w:rsid w:val="5C4C5890"/>
    <w:rsid w:val="5EFB518E"/>
    <w:rsid w:val="5F6324CC"/>
    <w:rsid w:val="62BA2877"/>
    <w:rsid w:val="63890F3D"/>
    <w:rsid w:val="66515271"/>
    <w:rsid w:val="673C2C8D"/>
    <w:rsid w:val="67437EFA"/>
    <w:rsid w:val="679504F4"/>
    <w:rsid w:val="67D85387"/>
    <w:rsid w:val="68AE0A7C"/>
    <w:rsid w:val="695C63BD"/>
    <w:rsid w:val="69B95989"/>
    <w:rsid w:val="69DE2FD7"/>
    <w:rsid w:val="6A7964C9"/>
    <w:rsid w:val="713F7E36"/>
    <w:rsid w:val="71A06B88"/>
    <w:rsid w:val="72767C6A"/>
    <w:rsid w:val="74A22F42"/>
    <w:rsid w:val="750C03E9"/>
    <w:rsid w:val="7A4931A2"/>
    <w:rsid w:val="7ADE3B13"/>
    <w:rsid w:val="7B4942E0"/>
    <w:rsid w:val="7B6206E6"/>
    <w:rsid w:val="7BBE1A87"/>
    <w:rsid w:val="7C7D7AC0"/>
    <w:rsid w:val="7CF9108D"/>
    <w:rsid w:val="7D4C6F93"/>
    <w:rsid w:val="7E434D17"/>
    <w:rsid w:val="7E6F149D"/>
    <w:rsid w:val="7E9B7B34"/>
    <w:rsid w:val="7F944884"/>
    <w:rsid w:val="FD52C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qFormat/>
    <w:uiPriority w:val="0"/>
    <w:pPr>
      <w:snapToGrid w:val="0"/>
      <w:spacing w:line="540" w:lineRule="exact"/>
      <w:ind w:firstLine="200" w:firstLineChars="200"/>
    </w:pPr>
    <w:rPr>
      <w:rFonts w:ascii="宋体" w:eastAsia="宋体"/>
      <w:sz w:val="24"/>
    </w:r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customStyle="1" w:styleId="12">
    <w:name w:val="批注框文本 字符"/>
    <w:basedOn w:val="9"/>
    <w:link w:val="3"/>
    <w:qFormat/>
    <w:uiPriority w:val="0"/>
    <w:rPr>
      <w:rFonts w:asciiTheme="minorHAnsi" w:hAnsiTheme="minorHAnsi" w:eastAsiaTheme="minorEastAsia" w:cstheme="minorBidi"/>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8</Pages>
  <Words>556</Words>
  <Characters>3170</Characters>
  <Lines>26</Lines>
  <Paragraphs>7</Paragraphs>
  <TotalTime>2</TotalTime>
  <ScaleCrop>false</ScaleCrop>
  <LinksUpToDate>false</LinksUpToDate>
  <CharactersWithSpaces>3719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2021-01-04T04:07:00Z</dcterms:created>
  <dc:creator>lhm</dc:creator>
  <cp:lastModifiedBy>小胡来</cp:lastModifiedBy>
  <cp:lastPrinted>2021-01-04T08:27:00Z</cp:lastPrinted>
  <dcterms:modified xsi:type="dcterms:W3CDTF">2024-01-19T07:45:03Z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A0CC641269A94813A70E9250664B3D9A_12</vt:lpwstr>
  </property>
</Properties>
</file>