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cs="宋体" w:asciiTheme="minorEastAsia" w:hAnsiTheme="minorEastAsia"/>
          <w:b/>
          <w:sz w:val="44"/>
          <w:szCs w:val="44"/>
        </w:rPr>
      </w:pPr>
      <w:r>
        <w:rPr>
          <w:rFonts w:hint="eastAsia" w:cs="宋体" w:asciiTheme="minorEastAsia" w:hAnsiTheme="minorEastAsia"/>
          <w:b/>
          <w:sz w:val="44"/>
          <w:szCs w:val="44"/>
        </w:rPr>
        <w:t>下城区民政局2020年</w:t>
      </w:r>
    </w:p>
    <w:p>
      <w:pPr>
        <w:widowControl/>
        <w:shd w:val="clear" w:color="auto" w:fill="FFFFFF"/>
        <w:jc w:val="center"/>
        <w:rPr>
          <w:rFonts w:cs="宋体" w:asciiTheme="minorEastAsia" w:hAnsiTheme="minorEastAsia"/>
          <w:b/>
          <w:color w:val="333333"/>
          <w:kern w:val="0"/>
          <w:sz w:val="44"/>
          <w:szCs w:val="44"/>
        </w:rPr>
      </w:pPr>
      <w:r>
        <w:rPr>
          <w:rFonts w:hint="eastAsia" w:cs="宋体" w:asciiTheme="minorEastAsia" w:hAnsiTheme="minorEastAsia"/>
          <w:b/>
          <w:sz w:val="44"/>
          <w:szCs w:val="44"/>
        </w:rPr>
        <w:t>政府信息公开</w:t>
      </w:r>
      <w:r>
        <w:rPr>
          <w:rFonts w:hint="eastAsia" w:cs="宋体" w:asciiTheme="minorEastAsia" w:hAnsiTheme="minorEastAsia"/>
          <w:b/>
          <w:bCs/>
          <w:color w:val="333333"/>
          <w:kern w:val="0"/>
          <w:sz w:val="44"/>
          <w:szCs w:val="44"/>
        </w:rPr>
        <w:t>工作年度报告</w:t>
      </w:r>
    </w:p>
    <w:p>
      <w:pPr>
        <w:widowControl/>
        <w:shd w:val="clear" w:color="auto" w:fill="FFFFFF"/>
        <w:spacing w:line="360" w:lineRule="auto"/>
        <w:ind w:firstLine="482"/>
        <w:rPr>
          <w:rFonts w:asciiTheme="minorEastAsia" w:hAnsiTheme="minorEastAsia"/>
          <w:color w:val="555555"/>
          <w:szCs w:val="21"/>
        </w:rPr>
      </w:pPr>
    </w:p>
    <w:p>
      <w:pPr>
        <w:widowControl/>
        <w:shd w:val="clear" w:color="auto" w:fill="FFFFFF"/>
        <w:spacing w:line="360" w:lineRule="auto"/>
        <w:rPr>
          <w:rFonts w:ascii="仿宋_GB2312" w:eastAsia="仿宋_GB2312" w:hAnsiTheme="minorEastAsia"/>
          <w:color w:val="000000" w:themeColor="text1"/>
          <w:spacing w:val="23"/>
          <w:sz w:val="32"/>
          <w:szCs w:val="32"/>
          <w:shd w:val="clear" w:color="auto" w:fill="FBF5ED"/>
        </w:rPr>
      </w:pPr>
      <w:r>
        <w:rPr>
          <w:rFonts w:hint="eastAsia" w:asciiTheme="minorEastAsia" w:hAnsiTheme="minorEastAsia"/>
          <w:color w:val="555555"/>
          <w:sz w:val="28"/>
          <w:szCs w:val="28"/>
        </w:rPr>
        <w:t xml:space="preserve">    </w:t>
      </w:r>
      <w:r>
        <w:rPr>
          <w:rFonts w:hint="eastAsia" w:ascii="仿宋_GB2312" w:eastAsia="仿宋_GB2312" w:hAnsiTheme="minorEastAsia"/>
          <w:color w:val="000000" w:themeColor="text1"/>
          <w:sz w:val="32"/>
          <w:szCs w:val="32"/>
        </w:rPr>
        <w:t>根据《中华人民共和国政府信息公开条例》（以下简称《条例》）规定和《浙江省政府信息公开暂行办法》的要求，现公开我局2020年度政府信息公开工作年度报告。全文包括政务公开工作完成情况及成效、主动公开政府信息情况、</w:t>
      </w:r>
      <w:r>
        <w:rPr>
          <w:rFonts w:hint="eastAsia" w:ascii="仿宋_GB2312" w:eastAsia="仿宋_GB2312" w:cs="宋体" w:hAnsiTheme="minorEastAsia"/>
          <w:bCs/>
          <w:color w:val="000000" w:themeColor="text1"/>
          <w:kern w:val="0"/>
          <w:sz w:val="32"/>
          <w:szCs w:val="32"/>
        </w:rPr>
        <w:t>收到和处理政府信息公开申请情况</w:t>
      </w:r>
      <w:r>
        <w:rPr>
          <w:rFonts w:hint="eastAsia" w:ascii="仿宋_GB2312" w:eastAsia="仿宋_GB2312" w:hAnsiTheme="minorEastAsia"/>
          <w:color w:val="000000" w:themeColor="text1"/>
          <w:sz w:val="32"/>
          <w:szCs w:val="32"/>
        </w:rPr>
        <w:t>、</w:t>
      </w:r>
      <w:r>
        <w:rPr>
          <w:rFonts w:hint="eastAsia" w:ascii="仿宋_GB2312" w:eastAsia="仿宋_GB2312" w:cs="宋体" w:hAnsiTheme="minorEastAsia"/>
          <w:bCs/>
          <w:color w:val="000000" w:themeColor="text1"/>
          <w:kern w:val="0"/>
          <w:sz w:val="32"/>
          <w:szCs w:val="32"/>
        </w:rPr>
        <w:t>政府信息公开行政复议、行政诉讼情况</w:t>
      </w:r>
      <w:r>
        <w:rPr>
          <w:rFonts w:hint="eastAsia" w:ascii="仿宋_GB2312" w:eastAsia="仿宋_GB2312" w:hAnsiTheme="minorEastAsia"/>
          <w:color w:val="000000" w:themeColor="text1"/>
          <w:sz w:val="32"/>
          <w:szCs w:val="32"/>
        </w:rPr>
        <w:t>以及政府信息公开工作存在的主要问题和工作安排。本年度报告中所列数据的统计期限自2020年1月1日起至2020年12月31日止。</w:t>
      </w:r>
    </w:p>
    <w:p>
      <w:pPr>
        <w:widowControl/>
        <w:shd w:val="clear" w:color="auto" w:fill="FFFFFF"/>
        <w:ind w:firstLine="480"/>
        <w:rPr>
          <w:rFonts w:cs="宋体" w:asciiTheme="minorEastAsia" w:hAnsiTheme="minorEastAsia"/>
          <w:bCs/>
          <w:color w:val="333333"/>
          <w:kern w:val="0"/>
          <w:sz w:val="28"/>
          <w:szCs w:val="28"/>
        </w:rPr>
      </w:pPr>
    </w:p>
    <w:p>
      <w:pPr>
        <w:widowControl/>
        <w:shd w:val="clear" w:color="auto" w:fill="FFFFFF"/>
        <w:rPr>
          <w:rFonts w:ascii="黑体" w:hAnsi="黑体" w:eastAsia="黑体" w:cs="宋体"/>
          <w:color w:val="333333"/>
          <w:kern w:val="0"/>
          <w:sz w:val="32"/>
          <w:szCs w:val="32"/>
        </w:rPr>
      </w:pPr>
      <w:r>
        <w:rPr>
          <w:rFonts w:hint="eastAsia" w:ascii="黑体" w:hAnsi="黑体" w:eastAsia="黑体" w:cs="宋体"/>
          <w:bCs/>
          <w:color w:val="333333"/>
          <w:kern w:val="0"/>
          <w:sz w:val="32"/>
          <w:szCs w:val="32"/>
        </w:rPr>
        <w:t>一、</w:t>
      </w:r>
      <w:r>
        <w:rPr>
          <w:rFonts w:hint="eastAsia" w:ascii="黑体" w:hAnsi="黑体" w:eastAsia="黑体" w:cs="宋体"/>
          <w:sz w:val="32"/>
          <w:szCs w:val="32"/>
        </w:rPr>
        <w:t>政务公开工作完成情况及成效</w:t>
      </w:r>
    </w:p>
    <w:p>
      <w:pPr>
        <w:spacing w:line="360" w:lineRule="auto"/>
        <w:ind w:firstLine="641" w:firstLineChars="200"/>
        <w:contextualSpacing/>
        <w:rPr>
          <w:rFonts w:ascii="楷体_GB2312" w:eastAsia="楷体_GB2312" w:cs="宋体" w:hAnsiTheme="minorEastAsia"/>
          <w:b/>
          <w:sz w:val="32"/>
          <w:szCs w:val="32"/>
        </w:rPr>
      </w:pPr>
      <w:r>
        <w:rPr>
          <w:rFonts w:hint="eastAsia" w:ascii="楷体_GB2312" w:eastAsia="楷体_GB2312" w:cs="宋体" w:hAnsiTheme="minorEastAsia"/>
          <w:b/>
          <w:sz w:val="32"/>
          <w:szCs w:val="32"/>
        </w:rPr>
        <w:t>（一）主动公开情况</w:t>
      </w:r>
    </w:p>
    <w:p>
      <w:pPr>
        <w:widowControl/>
        <w:shd w:val="clear" w:color="auto" w:fill="FFFFFF"/>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截至2020年12月31日，区民政局通过“下城区民政局网站”主动公开信息总计388条。政府信息公开目录（资源库）主动公开信息119条。其中：组织机构公开9条，法规文件6条，规划计划8条，财政信息6条，人事信息6条，公告公示51条，行政执法公开和行政执法决定9条，重点领域信息公开15条，包括社会救助14条和养老服务1条，回应群众关切意见征集17条。部门专栏主动公开信息269条。其中：部门动态信息168条，通知公告101条。</w:t>
      </w:r>
    </w:p>
    <w:p>
      <w:pPr>
        <w:spacing w:line="360" w:lineRule="auto"/>
        <w:ind w:firstLine="471" w:firstLineChars="147"/>
        <w:contextualSpacing/>
        <w:rPr>
          <w:rFonts w:hint="eastAsia" w:ascii="楷体_GB2312" w:eastAsia="楷体_GB2312" w:cs="宋体" w:hAnsiTheme="minorEastAsia"/>
          <w:b/>
          <w:sz w:val="32"/>
          <w:szCs w:val="32"/>
        </w:rPr>
      </w:pPr>
      <w:r>
        <w:rPr>
          <w:rFonts w:hint="eastAsia" w:ascii="楷体_GB2312" w:eastAsia="楷体_GB2312" w:cs="宋体" w:hAnsiTheme="minorEastAsia"/>
          <w:b/>
          <w:sz w:val="32"/>
          <w:szCs w:val="32"/>
        </w:rPr>
        <w:t>（二）依申请公开情况</w:t>
      </w:r>
    </w:p>
    <w:p>
      <w:pPr>
        <w:widowControl/>
        <w:shd w:val="clear" w:color="auto" w:fill="FFFFFF"/>
        <w:ind w:firstLine="560" w:firstLineChars="200"/>
        <w:rPr>
          <w:rFonts w:ascii="仿宋_GB2312" w:hAnsi="黑体" w:eastAsia="仿宋_GB2312" w:cs="宋体"/>
          <w:bCs/>
          <w:color w:val="000000" w:themeColor="text1"/>
          <w:kern w:val="0"/>
          <w:sz w:val="28"/>
          <w:szCs w:val="28"/>
        </w:rPr>
      </w:pPr>
      <w:r>
        <w:rPr>
          <w:rFonts w:hint="eastAsia" w:ascii="仿宋_GB2312" w:hAnsi="黑体" w:eastAsia="仿宋_GB2312" w:cs="宋体"/>
          <w:bCs/>
          <w:color w:val="000000" w:themeColor="text1"/>
          <w:kern w:val="0"/>
          <w:sz w:val="28"/>
          <w:szCs w:val="28"/>
        </w:rPr>
        <w:t>本年度未收到信息公开申请。</w:t>
      </w:r>
    </w:p>
    <w:p>
      <w:pPr>
        <w:spacing w:line="360" w:lineRule="auto"/>
        <w:ind w:firstLine="471" w:firstLineChars="147"/>
        <w:contextualSpacing/>
        <w:rPr>
          <w:rFonts w:ascii="楷体_GB2312" w:eastAsia="楷体_GB2312" w:cs="宋体" w:hAnsiTheme="minorEastAsia"/>
          <w:b/>
          <w:sz w:val="32"/>
          <w:szCs w:val="32"/>
        </w:rPr>
      </w:pPr>
      <w:r>
        <w:rPr>
          <w:rFonts w:hint="eastAsia" w:ascii="楷体_GB2312" w:eastAsia="楷体_GB2312" w:cs="宋体" w:hAnsiTheme="minorEastAsia"/>
          <w:b/>
          <w:sz w:val="32"/>
          <w:szCs w:val="32"/>
        </w:rPr>
        <w:t>（三）平台建设情况</w:t>
      </w:r>
    </w:p>
    <w:p>
      <w:pPr>
        <w:widowControl/>
        <w:shd w:val="clear" w:color="auto" w:fill="FFFFFF"/>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为使区民政局的相关政策能够更广阔、更多元、更深入地被群众了解获取，我局努力通过各种渠道公开信息。最常用的方式为门户网站，通过区政府门户网站后台管理的方式发布政策法规、调研与决策、规划计划、资金管理等工作动态信息。除此之外，区民政局还利用多种媒介平台向群众传达信息，如通过微信公众号和微博及时宣传报道民政工作新动态。</w:t>
      </w:r>
    </w:p>
    <w:p>
      <w:pPr>
        <w:spacing w:line="360" w:lineRule="auto"/>
        <w:ind w:firstLine="641" w:firstLineChars="200"/>
        <w:contextualSpacing/>
        <w:rPr>
          <w:rFonts w:ascii="楷体_GB2312" w:eastAsia="楷体_GB2312" w:cs="宋体" w:hAnsiTheme="minorEastAsia"/>
          <w:b/>
          <w:sz w:val="32"/>
          <w:szCs w:val="32"/>
        </w:rPr>
      </w:pPr>
      <w:r>
        <w:rPr>
          <w:rFonts w:hint="eastAsia" w:ascii="楷体_GB2312" w:eastAsia="楷体_GB2312" w:cs="宋体" w:hAnsiTheme="minorEastAsia"/>
          <w:b/>
          <w:sz w:val="32"/>
          <w:szCs w:val="32"/>
        </w:rPr>
        <w:t>（四）政府信息管理及监督保障</w:t>
      </w:r>
    </w:p>
    <w:p>
      <w:pPr>
        <w:widowControl/>
        <w:shd w:val="clear" w:color="auto" w:fill="FFFFFF"/>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局领导班子带头，利用局党组会议、局长办公会议等形式，并结合党员学习活动日，定期学习交流相关法规政策，听取群众关心的热点、难点问题，分析社会舆情导向，掌握社会动态，根据群众需求不断调整工作方法，及时作出回应或处置到位。</w:t>
      </w:r>
      <w:r>
        <w:rPr>
          <w:rFonts w:hint="eastAsia" w:ascii="仿宋_GB2312" w:eastAsia="仿宋_GB2312" w:hAnsiTheme="minorEastAsia"/>
          <w:color w:val="000000" w:themeColor="text1"/>
          <w:sz w:val="32"/>
          <w:szCs w:val="32"/>
          <w:lang w:val="en-US" w:eastAsia="zh-Hans"/>
        </w:rPr>
        <w:t>截至</w:t>
      </w:r>
      <w:bookmarkStart w:id="0" w:name="_GoBack"/>
      <w:bookmarkEnd w:id="0"/>
      <w:r>
        <w:rPr>
          <w:rFonts w:hint="eastAsia" w:ascii="仿宋_GB2312" w:eastAsia="仿宋_GB2312" w:hAnsiTheme="minorEastAsia"/>
          <w:color w:val="000000" w:themeColor="text1"/>
          <w:sz w:val="32"/>
          <w:szCs w:val="32"/>
        </w:rPr>
        <w:t>目前，今年未有涉及我局的重大舆情情况发生。在此基础上，畅通网上申请、电话咨询、投诉举报渠道，自觉接受社会监督，对市民群众关心的问题及时回应，反映存在的问题及时纠正。</w:t>
      </w:r>
    </w:p>
    <w:p>
      <w:pPr>
        <w:widowControl/>
        <w:shd w:val="clear" w:color="auto" w:fill="FFFFFF"/>
        <w:rPr>
          <w:rFonts w:ascii="黑体" w:hAnsi="黑体" w:eastAsia="黑体" w:cs="宋体"/>
          <w:bCs/>
          <w:color w:val="333333"/>
          <w:kern w:val="0"/>
          <w:sz w:val="32"/>
          <w:szCs w:val="32"/>
        </w:rPr>
      </w:pPr>
    </w:p>
    <w:p>
      <w:pPr>
        <w:widowControl/>
        <w:shd w:val="clear" w:color="auto" w:fill="FFFFFF"/>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二、主动公开政府信息情况</w:t>
      </w:r>
    </w:p>
    <w:tbl>
      <w:tblPr>
        <w:tblStyle w:val="6"/>
        <w:tblW w:w="8140" w:type="dxa"/>
        <w:jc w:val="center"/>
        <w:tblLayout w:type="autofit"/>
        <w:tblCellMar>
          <w:top w:w="0" w:type="dxa"/>
          <w:left w:w="0" w:type="dxa"/>
          <w:bottom w:w="0" w:type="dxa"/>
          <w:right w:w="0" w:type="dxa"/>
        </w:tblCellMar>
      </w:tblPr>
      <w:tblGrid>
        <w:gridCol w:w="3113"/>
        <w:gridCol w:w="1875"/>
        <w:gridCol w:w="6"/>
        <w:gridCol w:w="1265"/>
        <w:gridCol w:w="1881"/>
      </w:tblGrid>
      <w:tr>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第二十条第（一）项</w:t>
            </w:r>
          </w:p>
        </w:tc>
      </w:tr>
      <w:tr>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本年新</w:t>
            </w:r>
            <w:r>
              <w:rPr>
                <w:rFonts w:hint="eastAsia" w:cs="宋体" w:asciiTheme="minorEastAsia" w:hAnsiTheme="minorEastAsia"/>
                <w:color w:val="000000"/>
                <w:kern w:val="0"/>
                <w:sz w:val="22"/>
              </w:rPr>
              <w:br w:type="textWrapping"/>
            </w:r>
            <w:r>
              <w:rPr>
                <w:rFonts w:cs="宋体" w:asciiTheme="minorEastAsia" w:hAnsiTheme="minorEastAsia"/>
                <w:kern w:val="0"/>
                <w:sz w:val="22"/>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本年新</w:t>
            </w:r>
            <w:r>
              <w:rPr>
                <w:rFonts w:hint="eastAsia" w:cs="宋体" w:asciiTheme="minorEastAsia" w:hAnsiTheme="minorEastAsia"/>
                <w:color w:val="000000"/>
                <w:kern w:val="0"/>
                <w:sz w:val="22"/>
              </w:rPr>
              <w:br w:type="textWrapping"/>
            </w:r>
            <w:r>
              <w:rPr>
                <w:rFonts w:cs="宋体" w:asciiTheme="minorEastAsia" w:hAnsiTheme="minorEastAsia"/>
                <w:kern w:val="0"/>
                <w:sz w:val="22"/>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对外公开总数量</w:t>
            </w:r>
          </w:p>
        </w:tc>
      </w:tr>
      <w:tr>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r>
      <w:tr>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2</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2</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2</w:t>
            </w:r>
          </w:p>
        </w:tc>
      </w:tr>
      <w:tr>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第二十条第（五）项</w:t>
            </w:r>
          </w:p>
        </w:tc>
      </w:tr>
      <w:tr>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处理决定数量</w:t>
            </w:r>
          </w:p>
        </w:tc>
      </w:tr>
      <w:tr>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5</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r>
      <w:tr>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r>
      <w:tr>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第二十条第（六）项</w:t>
            </w:r>
          </w:p>
        </w:tc>
      </w:tr>
      <w:tr>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处理决定数量</w:t>
            </w:r>
          </w:p>
        </w:tc>
      </w:tr>
      <w:tr>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5</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12</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r>
      <w:tr>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r>
      <w:tr>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第二十条第（八）项</w:t>
            </w:r>
          </w:p>
        </w:tc>
      </w:tr>
      <w:tr>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本年增/减</w:t>
            </w:r>
          </w:p>
        </w:tc>
      </w:tr>
      <w:tr>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0</w:t>
            </w:r>
          </w:p>
        </w:tc>
      </w:tr>
      <w:tr>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第二十条第（九）项</w:t>
            </w:r>
          </w:p>
        </w:tc>
      </w:tr>
      <w:tr>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采购总金额</w:t>
            </w:r>
          </w:p>
        </w:tc>
      </w:tr>
      <w:tr>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color w:val="000000"/>
                <w:kern w:val="0"/>
                <w:sz w:val="22"/>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45</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cs="宋体" w:asciiTheme="minorEastAsia" w:hAnsiTheme="minorEastAsia"/>
                <w:kern w:val="0"/>
                <w:sz w:val="22"/>
              </w:rPr>
            </w:pPr>
            <w:r>
              <w:rPr>
                <w:rFonts w:hint="eastAsia" w:cs="宋体" w:asciiTheme="minorEastAsia" w:hAnsiTheme="minorEastAsia"/>
                <w:kern w:val="0"/>
                <w:sz w:val="22"/>
              </w:rPr>
              <w:t>`56700</w:t>
            </w:r>
          </w:p>
        </w:tc>
      </w:tr>
    </w:tbl>
    <w:p>
      <w:pPr>
        <w:widowControl/>
        <w:shd w:val="clear" w:color="auto" w:fill="FFFFFF"/>
        <w:spacing w:after="240"/>
        <w:rPr>
          <w:rFonts w:cs="宋体" w:asciiTheme="minorEastAsia" w:hAnsiTheme="minorEastAsia"/>
          <w:b/>
          <w:bCs/>
          <w:color w:val="333333"/>
          <w:kern w:val="0"/>
          <w:sz w:val="28"/>
          <w:szCs w:val="28"/>
        </w:rPr>
      </w:pPr>
    </w:p>
    <w:p>
      <w:pPr>
        <w:widowControl/>
        <w:shd w:val="clear" w:color="auto" w:fill="FFFFFF"/>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三、收到和处理政府信息公开申请情况</w:t>
      </w:r>
    </w:p>
    <w:tbl>
      <w:tblPr>
        <w:tblStyle w:val="6"/>
        <w:tblW w:w="9071" w:type="dxa"/>
        <w:jc w:val="center"/>
        <w:tblLayout w:type="autofit"/>
        <w:tblCellMar>
          <w:top w:w="0" w:type="dxa"/>
          <w:left w:w="0" w:type="dxa"/>
          <w:bottom w:w="0" w:type="dxa"/>
          <w:right w:w="0" w:type="dxa"/>
        </w:tblCellMar>
      </w:tblPr>
      <w:tblGrid>
        <w:gridCol w:w="636"/>
        <w:gridCol w:w="854"/>
        <w:gridCol w:w="2077"/>
        <w:gridCol w:w="811"/>
        <w:gridCol w:w="753"/>
        <w:gridCol w:w="753"/>
        <w:gridCol w:w="811"/>
        <w:gridCol w:w="970"/>
        <w:gridCol w:w="710"/>
        <w:gridCol w:w="696"/>
      </w:tblGrid>
      <w:tr>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申请人情况</w:t>
            </w:r>
          </w:p>
        </w:tc>
      </w:tr>
      <w:tr>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总计</w:t>
            </w:r>
          </w:p>
        </w:tc>
      </w:tr>
      <w:tr>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r>
      <w:tr>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Cs w:val="21"/>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r>
      <w:tr>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10" w:firstLineChars="100"/>
              <w:jc w:val="left"/>
              <w:rPr>
                <w:rFonts w:cs="宋体" w:asciiTheme="minorEastAsia" w:hAnsiTheme="minorEastAsia"/>
                <w:kern w:val="0"/>
                <w:szCs w:val="21"/>
              </w:rPr>
            </w:pPr>
            <w:r>
              <w:rPr>
                <w:rFonts w:hint="eastAsia" w:cs="宋体" w:asciiTheme="minorEastAsia" w:hAnsiTheme="minorEastAsia"/>
                <w:kern w:val="0"/>
                <w:szCs w:val="21"/>
              </w:rPr>
              <w:t>0</w:t>
            </w:r>
          </w:p>
        </w:tc>
      </w:tr>
    </w:tbl>
    <w:p>
      <w:pPr>
        <w:widowControl/>
        <w:shd w:val="clear" w:color="auto" w:fill="FFFFFF"/>
        <w:rPr>
          <w:rFonts w:cs="宋体" w:asciiTheme="minorEastAsia" w:hAnsiTheme="minorEastAsia"/>
          <w:b/>
          <w:bCs/>
          <w:color w:val="333333"/>
          <w:kern w:val="0"/>
          <w:sz w:val="28"/>
          <w:szCs w:val="28"/>
        </w:rPr>
      </w:pPr>
    </w:p>
    <w:p>
      <w:pPr>
        <w:widowControl/>
        <w:shd w:val="clear" w:color="auto" w:fill="FFFFFF"/>
        <w:rPr>
          <w:rFonts w:ascii="黑体" w:hAnsi="黑体" w:eastAsia="黑体" w:cs="宋体"/>
          <w:color w:val="333333"/>
          <w:kern w:val="0"/>
          <w:sz w:val="32"/>
          <w:szCs w:val="32"/>
        </w:rPr>
      </w:pPr>
      <w:r>
        <w:rPr>
          <w:rFonts w:hint="eastAsia" w:ascii="黑体" w:hAnsi="黑体" w:eastAsia="黑体" w:cs="宋体"/>
          <w:bCs/>
          <w:color w:val="333333"/>
          <w:kern w:val="0"/>
          <w:sz w:val="32"/>
          <w:szCs w:val="32"/>
        </w:rPr>
        <w:t>四、政府信息公开行政复议、行政诉讼情况</w:t>
      </w:r>
    </w:p>
    <w:p>
      <w:pPr>
        <w:widowControl/>
        <w:shd w:val="clear" w:color="auto" w:fill="FFFFFF"/>
        <w:ind w:firstLine="480"/>
        <w:rPr>
          <w:rFonts w:cs="宋体" w:asciiTheme="minorEastAsia" w:hAnsiTheme="minorEastAsia"/>
          <w:color w:val="333333"/>
          <w:kern w:val="0"/>
          <w:sz w:val="24"/>
        </w:rPr>
      </w:pP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行政诉讼</w:t>
            </w:r>
          </w:p>
        </w:tc>
      </w:tr>
      <w:tr>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cs="宋体" w:asciiTheme="minorEastAsia" w:hAnsiTheme="minorEastAsia"/>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cs="宋体" w:asciiTheme="minorEastAsia" w:hAnsiTheme="minorEastAsia"/>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cs="宋体" w:asciiTheme="minorEastAsia" w:hAnsiTheme="minorEastAsia"/>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cs="宋体" w:asciiTheme="minorEastAsia" w:hAnsiTheme="minorEastAsia"/>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cs="宋体" w:asciiTheme="minorEastAsia" w:hAnsiTheme="minorEastAsia"/>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color w:val="000000"/>
                <w:kern w:val="0"/>
                <w:sz w:val="24"/>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color w:val="000000"/>
                <w:kern w:val="0"/>
                <w:sz w:val="24"/>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color w:val="000000"/>
                <w:kern w:val="0"/>
                <w:sz w:val="24"/>
              </w:rPr>
              <w:t>总计</w:t>
            </w:r>
          </w:p>
        </w:tc>
      </w:tr>
      <w:tr>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color w:val="000000"/>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120" w:firstLineChars="50"/>
              <w:rPr>
                <w:rFonts w:cs="宋体" w:asciiTheme="minorEastAsia" w:hAnsiTheme="minorEastAsia"/>
                <w:kern w:val="0"/>
                <w:sz w:val="24"/>
              </w:rPr>
            </w:pPr>
            <w:r>
              <w:rPr>
                <w:rFonts w:hint="eastAsia" w:cs="宋体" w:asciiTheme="minorEastAsia" w:hAnsiTheme="minorEastAsia"/>
                <w:color w:val="000000"/>
                <w:kern w:val="0"/>
                <w:sz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0</w:t>
            </w:r>
          </w:p>
        </w:tc>
      </w:tr>
    </w:tbl>
    <w:p>
      <w:pPr>
        <w:widowControl/>
        <w:shd w:val="clear" w:color="auto" w:fill="FFFFFF"/>
        <w:spacing w:line="360" w:lineRule="auto"/>
        <w:rPr>
          <w:rFonts w:cs="宋体" w:asciiTheme="minorEastAsia" w:hAnsiTheme="minorEastAsia"/>
          <w:bCs/>
          <w:color w:val="333333"/>
          <w:kern w:val="0"/>
          <w:sz w:val="28"/>
          <w:szCs w:val="28"/>
        </w:rPr>
      </w:pPr>
    </w:p>
    <w:p>
      <w:pPr>
        <w:widowControl/>
        <w:shd w:val="clear" w:color="auto" w:fill="FFFFFF"/>
        <w:spacing w:line="360" w:lineRule="auto"/>
        <w:rPr>
          <w:rFonts w:ascii="黑体" w:hAnsi="黑体" w:eastAsia="黑体" w:cs="宋体"/>
          <w:color w:val="333333"/>
          <w:kern w:val="0"/>
          <w:sz w:val="32"/>
          <w:szCs w:val="32"/>
        </w:rPr>
      </w:pPr>
      <w:r>
        <w:rPr>
          <w:rFonts w:hint="eastAsia" w:ascii="黑体" w:hAnsi="黑体" w:eastAsia="黑体" w:cs="宋体"/>
          <w:bCs/>
          <w:color w:val="333333"/>
          <w:kern w:val="0"/>
          <w:sz w:val="32"/>
          <w:szCs w:val="32"/>
        </w:rPr>
        <w:t>五</w:t>
      </w:r>
      <w:r>
        <w:rPr>
          <w:rFonts w:hint="eastAsia" w:ascii="黑体" w:hAnsi="黑体" w:eastAsia="黑体"/>
          <w:color w:val="555555"/>
          <w:sz w:val="32"/>
          <w:szCs w:val="32"/>
        </w:rPr>
        <w:t>、</w:t>
      </w:r>
      <w:r>
        <w:rPr>
          <w:rFonts w:hint="eastAsia" w:ascii="黑体" w:hAnsi="黑体" w:eastAsia="黑体" w:cs="宋体"/>
          <w:bCs/>
          <w:color w:val="333333"/>
          <w:kern w:val="0"/>
          <w:sz w:val="32"/>
          <w:szCs w:val="32"/>
        </w:rPr>
        <w:t>存在的主要问题及工作安排情况</w:t>
      </w:r>
    </w:p>
    <w:p>
      <w:pPr>
        <w:pStyle w:val="4"/>
        <w:shd w:val="clear" w:color="auto" w:fill="FFFFFF"/>
        <w:spacing w:before="0" w:beforeAutospacing="0" w:after="0" w:afterAutospacing="0" w:line="360" w:lineRule="auto"/>
        <w:ind w:firstLine="641" w:firstLineChars="200"/>
        <w:rPr>
          <w:rFonts w:ascii="楷体_GB2312" w:eastAsia="楷体_GB2312" w:hAnsiTheme="minorEastAsia"/>
          <w:b/>
          <w:kern w:val="2"/>
          <w:sz w:val="32"/>
          <w:szCs w:val="32"/>
        </w:rPr>
      </w:pPr>
      <w:r>
        <w:rPr>
          <w:rFonts w:hint="eastAsia" w:ascii="楷体_GB2312" w:eastAsia="楷体_GB2312" w:hAnsiTheme="minorEastAsia"/>
          <w:b/>
          <w:kern w:val="2"/>
          <w:sz w:val="32"/>
          <w:szCs w:val="32"/>
        </w:rPr>
        <w:t>（一）存在的问题</w:t>
      </w:r>
    </w:p>
    <w:p>
      <w:pPr>
        <w:widowControl/>
        <w:shd w:val="clear" w:color="auto" w:fill="FFFFFF"/>
        <w:spacing w:line="360" w:lineRule="auto"/>
        <w:rPr>
          <w:rFonts w:ascii="仿宋_GB2312" w:eastAsia="仿宋_GB2312" w:hAnsiTheme="minorEastAsia"/>
          <w:color w:val="000000" w:themeColor="text1"/>
          <w:sz w:val="32"/>
          <w:szCs w:val="32"/>
        </w:rPr>
      </w:pPr>
      <w:r>
        <w:rPr>
          <w:rFonts w:hint="eastAsia" w:asciiTheme="minorEastAsia" w:hAnsiTheme="minorEastAsia"/>
          <w:sz w:val="28"/>
          <w:szCs w:val="28"/>
        </w:rPr>
        <w:t xml:space="preserve">   </w:t>
      </w:r>
      <w:r>
        <w:rPr>
          <w:rFonts w:hint="eastAsia" w:ascii="仿宋_GB2312" w:eastAsia="仿宋_GB2312" w:hAnsiTheme="minorEastAsia"/>
          <w:color w:val="555555"/>
          <w:sz w:val="32"/>
          <w:szCs w:val="32"/>
        </w:rPr>
        <w:t xml:space="preserve"> </w:t>
      </w:r>
      <w:r>
        <w:rPr>
          <w:rFonts w:hint="eastAsia" w:ascii="仿宋_GB2312" w:eastAsia="仿宋_GB2312" w:hAnsiTheme="minorEastAsia"/>
          <w:color w:val="000000" w:themeColor="text1"/>
          <w:sz w:val="32"/>
          <w:szCs w:val="32"/>
        </w:rPr>
        <w:t>政务舆情收集和信息共享还不够充分。对涉及线民政局的政务舆情信息；涉及媒体和社会关注、可能影响政府公信力的舆情信息；涉及重大突发事件处置等，我局通过政府公开网站、区民政局门户网站等传统媒体和新媒体对舆情动态的跟踪还不够主动，权威信息的发布还不够及时。</w:t>
      </w:r>
    </w:p>
    <w:p>
      <w:pPr>
        <w:widowControl/>
        <w:shd w:val="clear" w:color="auto" w:fill="FFFFFF"/>
        <w:spacing w:line="360" w:lineRule="auto"/>
        <w:ind w:firstLine="640" w:firstLineChars="200"/>
        <w:rPr>
          <w:rFonts w:ascii="仿宋_GB2312" w:eastAsia="仿宋_GB2312" w:hAnsiTheme="minorEastAsia"/>
          <w:color w:val="555555"/>
          <w:sz w:val="32"/>
          <w:szCs w:val="32"/>
        </w:rPr>
      </w:pPr>
      <w:r>
        <w:rPr>
          <w:rFonts w:hint="eastAsia" w:ascii="仿宋_GB2312" w:eastAsia="仿宋_GB2312" w:hAnsiTheme="minorEastAsia"/>
          <w:color w:val="000000" w:themeColor="text1"/>
          <w:sz w:val="32"/>
          <w:szCs w:val="32"/>
        </w:rPr>
        <w:t>信息发布还不够规范。一是信息更新质量有待提高。在部门动态信息中，曾出现个别表述问题，如错别字问题。二是信息更新频率有待提高。除部门动态、通知公告外，其他栏目更新发布频率较低；政府信息公开目录子栏目中的“组织机构”、“规划计划”、“重点领域信息公开”信息更新还不够及时。政务专题栏目中的“基层政务公开标准化规范化”暂无内容更新。</w:t>
      </w:r>
    </w:p>
    <w:p>
      <w:pPr>
        <w:pStyle w:val="4"/>
        <w:shd w:val="clear" w:color="auto" w:fill="FFFFFF"/>
        <w:spacing w:before="0" w:beforeAutospacing="0" w:after="0" w:afterAutospacing="0" w:line="360" w:lineRule="auto"/>
        <w:ind w:firstLine="641" w:firstLineChars="200"/>
        <w:rPr>
          <w:rFonts w:ascii="楷体_GB2312" w:eastAsia="楷体_GB2312" w:hAnsiTheme="minorEastAsia"/>
          <w:b/>
          <w:kern w:val="2"/>
          <w:sz w:val="32"/>
          <w:szCs w:val="32"/>
        </w:rPr>
      </w:pPr>
      <w:r>
        <w:rPr>
          <w:rFonts w:hint="eastAsia" w:ascii="楷体_GB2312" w:eastAsia="楷体_GB2312" w:hAnsiTheme="minorEastAsia"/>
          <w:b/>
          <w:kern w:val="2"/>
          <w:sz w:val="32"/>
          <w:szCs w:val="32"/>
        </w:rPr>
        <w:t>（二）工作安排</w:t>
      </w:r>
    </w:p>
    <w:p>
      <w:pPr>
        <w:widowControl/>
        <w:shd w:val="clear" w:color="auto" w:fill="FFFFFF"/>
        <w:spacing w:line="360" w:lineRule="auto"/>
        <w:ind w:firstLine="627" w:firstLineChars="196"/>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统一认识，规范程序。进一步加强对政府信息公开工作的重视，全面梳理本部门所掌握的政府信息，及时提供，定期维护，专人审核，确保政府信息公开工作能按照既定的工作流程有效运作。</w:t>
      </w:r>
    </w:p>
    <w:p>
      <w:pPr>
        <w:widowControl/>
        <w:shd w:val="clear" w:color="auto" w:fill="FFFFFF"/>
        <w:spacing w:line="360" w:lineRule="auto"/>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    找准不足，深化完善。对应《下城区政府信息公开栏目表》逐条进行自查，将自查过程中发现的问题及时进行整改，不断丰富政府信息公开内容，完善信息公开目录力求使公开的信息更贴近公众、方便群众。</w:t>
      </w:r>
    </w:p>
    <w:p>
      <w:pPr>
        <w:widowControl/>
        <w:shd w:val="clear" w:color="auto" w:fill="FFFFFF"/>
        <w:spacing w:line="360" w:lineRule="auto"/>
        <w:rPr>
          <w:rFonts w:ascii="仿宋_GB2312" w:eastAsia="仿宋_GB2312" w:hAnsiTheme="minorEastAsia"/>
          <w:color w:val="000000" w:themeColor="text1"/>
          <w:sz w:val="32"/>
          <w:szCs w:val="32"/>
        </w:rPr>
      </w:pPr>
      <w:r>
        <w:rPr>
          <w:rFonts w:hint="eastAsia" w:asciiTheme="minorEastAsia" w:hAnsiTheme="minorEastAsia"/>
          <w:color w:val="000000" w:themeColor="text1"/>
          <w:sz w:val="28"/>
          <w:szCs w:val="28"/>
        </w:rPr>
        <w:t xml:space="preserve">    </w:t>
      </w:r>
      <w:r>
        <w:rPr>
          <w:rFonts w:hint="eastAsia" w:ascii="仿宋_GB2312" w:eastAsia="仿宋_GB2312" w:hAnsiTheme="minorEastAsia"/>
          <w:color w:val="000000" w:themeColor="text1"/>
          <w:sz w:val="32"/>
          <w:szCs w:val="32"/>
        </w:rPr>
        <w:t>有效沟通，优化服务。结合政府信息公开工作标准化和规范化工作具体要求，与区政务信息中心及时做好沟通对接，增加发布信息量，提高采集业务数据的及时性、准确性，确保做到应公开尽公开。</w:t>
      </w:r>
      <w:r>
        <w:rPr>
          <w:rFonts w:hint="eastAsia" w:ascii="仿宋_GB2312" w:eastAsia="仿宋_GB2312" w:hAnsiTheme="minorEastAsia"/>
          <w:color w:val="000000" w:themeColor="text1"/>
          <w:sz w:val="32"/>
          <w:szCs w:val="32"/>
        </w:rPr>
        <w:cr/>
      </w:r>
    </w:p>
    <w:p>
      <w:pPr>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D3"/>
    <w:rsid w:val="000B5002"/>
    <w:rsid w:val="001138C5"/>
    <w:rsid w:val="001C04C0"/>
    <w:rsid w:val="00216977"/>
    <w:rsid w:val="002B4340"/>
    <w:rsid w:val="002D148E"/>
    <w:rsid w:val="002D3753"/>
    <w:rsid w:val="003D3419"/>
    <w:rsid w:val="00452D74"/>
    <w:rsid w:val="004A25BD"/>
    <w:rsid w:val="004E38CC"/>
    <w:rsid w:val="00535DA6"/>
    <w:rsid w:val="00575E6F"/>
    <w:rsid w:val="005E344A"/>
    <w:rsid w:val="005F5559"/>
    <w:rsid w:val="0063683B"/>
    <w:rsid w:val="007619A5"/>
    <w:rsid w:val="007727A0"/>
    <w:rsid w:val="00884DD3"/>
    <w:rsid w:val="009548B8"/>
    <w:rsid w:val="009C0660"/>
    <w:rsid w:val="009D3EF9"/>
    <w:rsid w:val="009E4E70"/>
    <w:rsid w:val="009F5D8A"/>
    <w:rsid w:val="00A56F01"/>
    <w:rsid w:val="00AD708C"/>
    <w:rsid w:val="00B4370A"/>
    <w:rsid w:val="00C41C50"/>
    <w:rsid w:val="00C84224"/>
    <w:rsid w:val="00C96978"/>
    <w:rsid w:val="00E65D8A"/>
    <w:rsid w:val="00E75A9F"/>
    <w:rsid w:val="00ED7F07"/>
    <w:rsid w:val="00FB13CD"/>
    <w:rsid w:val="00FB4B2B"/>
    <w:rsid w:val="7FEFE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411</Words>
  <Characters>2345</Characters>
  <Lines>19</Lines>
  <Paragraphs>5</Paragraphs>
  <TotalTime>0</TotalTime>
  <ScaleCrop>false</ScaleCrop>
  <LinksUpToDate>false</LinksUpToDate>
  <CharactersWithSpaces>2751</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2021-01-19T09:24:00Z</dcterms:created>
  <dc:creator>new</dc:creator>
  <cp:lastModifiedBy>liugang</cp:lastModifiedBy>
  <dcterms:modified xsi:type="dcterms:W3CDTF">2021-11-16T16:07:31Z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