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ind w:firstLine="480"/>
        <w:rPr>
          <w:rFonts w:ascii="宋体" w:hAnsi="宋体" w:eastAsia="宋体" w:cs="宋体"/>
          <w:kern w:val="0"/>
          <w:sz w:val="24"/>
          <w:szCs w:val="24"/>
        </w:rPr>
      </w:pPr>
    </w:p>
    <w:p>
      <w:pPr>
        <w:widowControl/>
        <w:shd w:val="clear" w:color="auto" w:fill="FFFFFF"/>
        <w:jc w:val="center"/>
        <w:rPr>
          <w:rFonts w:ascii="宋体" w:hAnsi="宋体" w:eastAsia="宋体" w:cs="宋体"/>
          <w:b/>
          <w:bCs/>
          <w:kern w:val="0"/>
          <w:sz w:val="36"/>
          <w:szCs w:val="36"/>
        </w:rPr>
      </w:pPr>
      <w:r>
        <w:rPr>
          <w:rFonts w:hint="eastAsia" w:ascii="宋体" w:hAnsi="宋体" w:eastAsia="宋体" w:cs="宋体"/>
          <w:b/>
          <w:bCs/>
          <w:kern w:val="0"/>
          <w:sz w:val="36"/>
          <w:szCs w:val="36"/>
        </w:rPr>
        <w:t>2020年政府信息公开工作年度报告</w:t>
      </w:r>
    </w:p>
    <w:p>
      <w:pPr>
        <w:widowControl/>
        <w:shd w:val="clear" w:color="auto" w:fill="FFFFFF"/>
        <w:jc w:val="center"/>
        <w:rPr>
          <w:rFonts w:ascii="宋体" w:hAnsi="宋体" w:eastAsia="宋体" w:cs="宋体"/>
          <w:kern w:val="0"/>
          <w:sz w:val="24"/>
          <w:szCs w:val="24"/>
        </w:rPr>
      </w:pPr>
      <w:r>
        <w:rPr>
          <w:rFonts w:hint="eastAsia" w:ascii="宋体" w:hAnsi="宋体" w:eastAsia="宋体" w:cs="宋体"/>
          <w:b/>
          <w:bCs/>
          <w:kern w:val="0"/>
          <w:sz w:val="24"/>
          <w:szCs w:val="24"/>
        </w:rPr>
        <w:t>（拱墅区司法局）</w:t>
      </w:r>
    </w:p>
    <w:p>
      <w:pPr>
        <w:widowControl/>
        <w:shd w:val="clear" w:color="auto" w:fill="FFFFFF"/>
        <w:ind w:firstLine="480"/>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r>
        <w:rPr>
          <w:rFonts w:hint="eastAsia" w:ascii="宋体" w:hAnsi="宋体" w:eastAsia="宋体" w:cs="宋体"/>
          <w:b/>
          <w:bCs/>
          <w:kern w:val="0"/>
          <w:sz w:val="24"/>
          <w:szCs w:val="24"/>
        </w:rPr>
        <w:t>一、总体情况</w:t>
      </w:r>
    </w:p>
    <w:p>
      <w:pPr>
        <w:widowControl/>
        <w:shd w:val="clear" w:color="auto" w:fill="FFFFFF"/>
        <w:spacing w:after="240"/>
        <w:ind w:firstLine="480"/>
        <w:rPr>
          <w:rFonts w:ascii="宋体" w:hAnsi="宋体" w:eastAsia="宋体" w:cs="宋体"/>
          <w:kern w:val="0"/>
          <w:sz w:val="24"/>
          <w:szCs w:val="24"/>
        </w:rPr>
      </w:pPr>
      <w:r>
        <w:rPr>
          <w:rFonts w:hint="eastAsia" w:ascii="宋体" w:hAnsi="宋体" w:eastAsia="宋体" w:cs="宋体"/>
          <w:kern w:val="0"/>
          <w:sz w:val="24"/>
          <w:szCs w:val="24"/>
        </w:rPr>
        <w:t>2020年，拱墅区司法局政务公开工作以习近平新时代中国特色社会主义思想为指导，按照《中华人民共和国政府信息公开条例》和区委区政府要求，切实增强司法行政工作的透明度，提高政务公开水平。</w:t>
      </w:r>
    </w:p>
    <w:p>
      <w:pPr>
        <w:widowControl/>
        <w:shd w:val="clear" w:color="auto" w:fill="FFFFFF"/>
        <w:spacing w:after="240"/>
        <w:ind w:firstLine="480"/>
        <w:rPr>
          <w:rFonts w:ascii="宋体" w:hAnsi="宋体" w:eastAsia="宋体" w:cs="宋体"/>
          <w:kern w:val="0"/>
          <w:sz w:val="24"/>
          <w:szCs w:val="24"/>
        </w:rPr>
      </w:pPr>
      <w:r>
        <w:rPr>
          <w:rFonts w:hint="eastAsia" w:ascii="宋体" w:hAnsi="宋体" w:eastAsia="宋体" w:cs="宋体"/>
          <w:kern w:val="0"/>
          <w:sz w:val="24"/>
          <w:szCs w:val="24"/>
        </w:rPr>
        <w:t>（一）主动公开情况。本着依法、准确、及时、有效、便民的原则，在政府信息公开工作中加强领导，规范程序，迅速高效，全面提升工作效率和服务水平。区司法局主动公开各类政府信息104条，其中，规范性文件0条，政策解读0条，部门文件5条，上级文件2条，其他各类信息97条。</w:t>
      </w:r>
    </w:p>
    <w:p>
      <w:pPr>
        <w:widowControl/>
        <w:shd w:val="clear" w:color="auto" w:fill="FFFFFF"/>
        <w:spacing w:after="240"/>
        <w:ind w:firstLine="480"/>
        <w:rPr>
          <w:rFonts w:ascii="宋体" w:hAnsi="宋体" w:eastAsia="宋体" w:cs="宋体"/>
          <w:kern w:val="0"/>
          <w:sz w:val="24"/>
          <w:szCs w:val="24"/>
        </w:rPr>
      </w:pPr>
      <w:r>
        <w:rPr>
          <w:rFonts w:hint="eastAsia" w:ascii="宋体" w:hAnsi="宋体" w:eastAsia="宋体" w:cs="宋体"/>
          <w:kern w:val="0"/>
          <w:sz w:val="24"/>
          <w:szCs w:val="24"/>
        </w:rPr>
        <w:t>（二）依申请公开方面。区司法局共受理依申请公开5件,其中本年新收5件，上年结转0件，结转至下年办理0件。从办理结果来看，予以公开共5件，部分公开0件，不予公开0件，无法提供0件，不予处理0件，其他处理0件。从申请人情况来看，自然人申请5件，法人或其他组织申请0件。均在规定期限内答复。</w:t>
      </w:r>
      <w:bookmarkStart w:id="0" w:name="_GoBack"/>
      <w:r>
        <w:rPr>
          <w:rFonts w:hint="eastAsia" w:ascii="宋体" w:hAnsi="宋体" w:eastAsia="宋体" w:cs="宋体"/>
          <w:kern w:val="0"/>
          <w:sz w:val="24"/>
          <w:szCs w:val="24"/>
        </w:rPr>
        <w:t>发生针对我局有关政府信息公开事务的行政复议案3件，其中一件结果纠正、一件其他结果、一件尚未审结，无行政诉讼案。</w:t>
      </w:r>
      <w:bookmarkEnd w:id="0"/>
    </w:p>
    <w:p>
      <w:pPr>
        <w:widowControl/>
        <w:shd w:val="clear" w:color="auto" w:fill="FFFFFF"/>
        <w:spacing w:after="240"/>
        <w:ind w:firstLine="480"/>
        <w:rPr>
          <w:rFonts w:ascii="宋体" w:hAnsi="宋体" w:eastAsia="宋体" w:cs="宋体"/>
          <w:kern w:val="0"/>
          <w:sz w:val="24"/>
          <w:szCs w:val="24"/>
        </w:rPr>
      </w:pPr>
      <w:r>
        <w:rPr>
          <w:rFonts w:hint="eastAsia" w:ascii="宋体" w:hAnsi="宋体" w:eastAsia="宋体" w:cs="宋体"/>
          <w:kern w:val="0"/>
          <w:sz w:val="24"/>
          <w:szCs w:val="24"/>
        </w:rPr>
        <w:t>（三）平台建设方面。线上打造门户网站、微博微信、公共法律服务自助机等多种公开渠道，实现政务公开、政务服务、政民互动的有机融合。继续维护更新“拱墅司法”微信公众号和“拱墅普法”新浪微博，将普法活动、日常工作等信息送到群众手里，受众面近5万人。定期向“杭州·拱墅”门户网站报送相关信息，全年报送197条。</w:t>
      </w:r>
    </w:p>
    <w:p>
      <w:pPr>
        <w:widowControl/>
        <w:shd w:val="clear" w:color="auto" w:fill="FFFFFF"/>
        <w:spacing w:after="240"/>
        <w:ind w:firstLine="480"/>
        <w:rPr>
          <w:rFonts w:ascii="宋体" w:hAnsi="宋体" w:eastAsia="宋体" w:cs="宋体"/>
          <w:kern w:val="0"/>
          <w:sz w:val="24"/>
          <w:szCs w:val="24"/>
        </w:rPr>
      </w:pPr>
      <w:r>
        <w:rPr>
          <w:rFonts w:hint="eastAsia" w:ascii="宋体" w:hAnsi="宋体" w:eastAsia="宋体" w:cs="宋体"/>
          <w:kern w:val="0"/>
          <w:sz w:val="24"/>
          <w:szCs w:val="24"/>
        </w:rPr>
        <w:t>（四）政策解读和回应关切方面。区司法局2020年度未发布过规范性文件，没有需要政策解读的情况，未产生政策解读信息。</w:t>
      </w:r>
    </w:p>
    <w:p>
      <w:pPr>
        <w:widowControl/>
        <w:shd w:val="clear" w:color="auto" w:fill="FFFFFF"/>
        <w:spacing w:after="240"/>
        <w:ind w:firstLine="480"/>
        <w:rPr>
          <w:rFonts w:ascii="宋体" w:hAnsi="宋体" w:eastAsia="宋体" w:cs="宋体"/>
          <w:kern w:val="0"/>
          <w:sz w:val="24"/>
          <w:szCs w:val="24"/>
        </w:rPr>
      </w:pPr>
      <w:r>
        <w:rPr>
          <w:rFonts w:hint="eastAsia" w:ascii="宋体" w:hAnsi="宋体" w:eastAsia="宋体" w:cs="宋体"/>
          <w:kern w:val="0"/>
          <w:sz w:val="24"/>
          <w:szCs w:val="24"/>
        </w:rPr>
        <w:t>（五）监督保障方面。根据新政府信息公开条例，及时修订完善相关配套制度，发布拱墅区司法局政府信息公开指南，建立健全政府信息发布机制、政府信息公开审查机制、协调机制和动态调整机制。对外公布政府信息公开监督电话，全面未收到相关投诉举报。</w:t>
      </w:r>
    </w:p>
    <w:p>
      <w:pPr>
        <w:widowControl/>
        <w:shd w:val="clear" w:color="auto" w:fill="FFFFFF"/>
        <w:spacing w:after="240"/>
        <w:ind w:firstLine="480"/>
        <w:rPr>
          <w:rFonts w:ascii="宋体" w:hAnsi="宋体" w:eastAsia="宋体" w:cs="宋体"/>
          <w:b/>
          <w:bCs/>
          <w:kern w:val="0"/>
          <w:sz w:val="24"/>
          <w:szCs w:val="24"/>
        </w:rPr>
      </w:pPr>
      <w:r>
        <w:rPr>
          <w:rFonts w:hint="eastAsia" w:ascii="宋体" w:hAnsi="宋体" w:eastAsia="宋体" w:cs="宋体"/>
          <w:b/>
          <w:bCs/>
          <w:kern w:val="0"/>
          <w:sz w:val="24"/>
          <w:szCs w:val="24"/>
        </w:rPr>
        <w:t>二、主动公开政府信息情况</w:t>
      </w:r>
    </w:p>
    <w:p>
      <w:pPr>
        <w:widowControl/>
        <w:shd w:val="clear" w:color="auto" w:fill="FFFFFF"/>
        <w:spacing w:after="240"/>
        <w:ind w:firstLine="480"/>
        <w:rPr>
          <w:rFonts w:ascii="宋体" w:hAnsi="宋体" w:eastAsia="宋体" w:cs="宋体"/>
          <w:kern w:val="0"/>
          <w:sz w:val="24"/>
          <w:szCs w:val="24"/>
        </w:rPr>
      </w:pPr>
    </w:p>
    <w:tbl>
      <w:tblPr>
        <w:tblStyle w:val="6"/>
        <w:tblW w:w="8140" w:type="dxa"/>
        <w:jc w:val="center"/>
        <w:tblLayout w:type="fixed"/>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本年新</w:t>
            </w:r>
            <w:r>
              <w:rPr>
                <w:rFonts w:hint="eastAsia" w:ascii="宋体" w:hAnsi="宋体" w:cs="宋体"/>
                <w:kern w:val="0"/>
                <w:sz w:val="20"/>
                <w:szCs w:val="20"/>
              </w:rPr>
              <w:br w:type="textWrapping"/>
            </w:r>
            <w:r>
              <w:rPr>
                <w:rFonts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本年增/减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hAnsi="宋体" w:cs="宋体"/>
                <w:kern w:val="0"/>
                <w:sz w:val="20"/>
                <w:szCs w:val="20"/>
              </w:rPr>
            </w:pPr>
            <w:r>
              <w:rPr>
                <w:rFonts w:hint="eastAsia" w:ascii="宋体" w:hAnsi="宋体" w:cs="宋体"/>
                <w:kern w:val="0"/>
                <w:sz w:val="20"/>
                <w:szCs w:val="20"/>
              </w:rPr>
              <w:t>248728.5</w:t>
            </w:r>
          </w:p>
        </w:tc>
      </w:tr>
    </w:tbl>
    <w:p>
      <w:pPr>
        <w:widowControl/>
        <w:shd w:val="clear" w:color="auto" w:fill="FFFFFF"/>
        <w:ind w:firstLine="480"/>
        <w:rPr>
          <w:rFonts w:ascii="宋体" w:hAnsi="宋体" w:eastAsia="宋体" w:cs="宋体"/>
          <w:kern w:val="0"/>
          <w:sz w:val="24"/>
          <w:szCs w:val="24"/>
        </w:rPr>
      </w:pPr>
    </w:p>
    <w:p>
      <w:pPr>
        <w:widowControl/>
        <w:shd w:val="clear" w:color="auto" w:fill="FFFFFF"/>
        <w:spacing w:after="240"/>
        <w:ind w:firstLine="480"/>
        <w:rPr>
          <w:rFonts w:ascii="宋体" w:hAnsi="宋体" w:eastAsia="宋体" w:cs="宋体"/>
          <w:b/>
          <w:bCs/>
          <w:kern w:val="0"/>
          <w:sz w:val="24"/>
          <w:szCs w:val="24"/>
        </w:rPr>
      </w:pPr>
      <w:r>
        <w:rPr>
          <w:rFonts w:hint="eastAsia" w:ascii="宋体" w:hAnsi="宋体" w:eastAsia="宋体" w:cs="宋体"/>
          <w:b/>
          <w:bCs/>
          <w:kern w:val="0"/>
          <w:sz w:val="24"/>
          <w:szCs w:val="24"/>
        </w:rPr>
        <w:t>三、收到和处理政府信息公开申请情况</w:t>
      </w:r>
    </w:p>
    <w:p>
      <w:pPr>
        <w:widowControl/>
        <w:shd w:val="clear" w:color="auto" w:fill="FFFFFF"/>
        <w:spacing w:after="240"/>
        <w:ind w:firstLine="480"/>
        <w:rPr>
          <w:rFonts w:ascii="宋体" w:hAnsi="宋体" w:eastAsia="宋体" w:cs="宋体"/>
          <w:kern w:val="0"/>
          <w:sz w:val="24"/>
          <w:szCs w:val="24"/>
        </w:rPr>
      </w:pPr>
    </w:p>
    <w:tbl>
      <w:tblPr>
        <w:tblStyle w:val="6"/>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5</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5</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5</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eastAsiaTheme="minorEastAsia"/>
                <w:kern w:val="0"/>
                <w:sz w:val="20"/>
                <w:szCs w:val="20"/>
                <w:lang w:eastAsia="zh-CN"/>
              </w:rPr>
            </w:pPr>
            <w:r>
              <w:rPr>
                <w:rFonts w:hint="eastAsia"/>
                <w:kern w:val="0"/>
                <w:sz w:val="20"/>
                <w:szCs w:val="20"/>
                <w:lang w:val="en-US" w:eastAsia="zh-CN"/>
              </w:rPr>
              <w:t>5</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5</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eastAsia="zh-CN"/>
              </w:rPr>
            </w:pPr>
            <w:r>
              <w:rPr>
                <w:rFonts w:hint="eastAsia"/>
                <w:kern w:val="0"/>
                <w:sz w:val="20"/>
                <w:szCs w:val="20"/>
                <w:lang w:val="en-US" w:eastAsia="zh-CN"/>
              </w:rPr>
              <w:t>5</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宋体" w:hAnsi="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r>
    </w:tbl>
    <w:p>
      <w:pPr>
        <w:widowControl/>
        <w:shd w:val="clear" w:color="auto" w:fill="FFFFFF"/>
        <w:ind w:firstLine="480"/>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r>
        <w:rPr>
          <w:rFonts w:hint="eastAsia" w:ascii="宋体" w:hAnsi="宋体" w:eastAsia="宋体" w:cs="宋体"/>
          <w:b/>
          <w:bCs/>
          <w:kern w:val="0"/>
          <w:sz w:val="24"/>
          <w:szCs w:val="24"/>
        </w:rPr>
        <w:t>四、政府信息公开行政复议、行政诉讼情况</w:t>
      </w:r>
    </w:p>
    <w:p>
      <w:pPr>
        <w:widowControl/>
        <w:shd w:val="clear" w:color="auto" w:fill="FFFFFF"/>
        <w:ind w:firstLine="480"/>
        <w:rPr>
          <w:rFonts w:ascii="宋体" w:hAnsi="宋体" w:eastAsia="宋体" w:cs="宋体"/>
          <w:kern w:val="0"/>
          <w:sz w:val="24"/>
          <w:szCs w:val="24"/>
        </w:rPr>
      </w:pPr>
    </w:p>
    <w:tbl>
      <w:tblPr>
        <w:tblStyle w:val="6"/>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1</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1</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1</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kern w:val="0"/>
                <w:sz w:val="20"/>
                <w:szCs w:val="20"/>
              </w:rPr>
              <w:t>3</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kern w:val="0"/>
                <w:sz w:val="20"/>
                <w:szCs w:val="20"/>
              </w:rPr>
            </w:pPr>
            <w:r>
              <w:rPr>
                <w:rFonts w:hint="eastAsia"/>
                <w:kern w:val="0"/>
                <w:sz w:val="20"/>
                <w:szCs w:val="20"/>
              </w:rPr>
              <w:t>0</w:t>
            </w:r>
          </w:p>
        </w:tc>
      </w:tr>
    </w:tbl>
    <w:p>
      <w:pPr>
        <w:widowControl/>
        <w:shd w:val="clear" w:color="auto" w:fill="FFFFFF"/>
        <w:jc w:val="center"/>
        <w:rPr>
          <w:rFonts w:ascii="宋体" w:hAnsi="宋体" w:eastAsia="宋体" w:cs="宋体"/>
          <w:kern w:val="0"/>
          <w:sz w:val="24"/>
          <w:szCs w:val="24"/>
        </w:rPr>
      </w:pPr>
    </w:p>
    <w:p>
      <w:pPr>
        <w:widowControl/>
        <w:shd w:val="clear" w:color="auto" w:fill="FFFFFF"/>
        <w:ind w:firstLine="480"/>
        <w:rPr>
          <w:rFonts w:ascii="宋体" w:hAnsi="宋体" w:eastAsia="宋体" w:cs="宋体"/>
          <w:b/>
          <w:bCs/>
          <w:kern w:val="0"/>
          <w:sz w:val="24"/>
          <w:szCs w:val="24"/>
        </w:rPr>
      </w:pPr>
      <w:r>
        <w:rPr>
          <w:rFonts w:hint="eastAsia" w:ascii="宋体" w:hAnsi="宋体" w:eastAsia="宋体" w:cs="宋体"/>
          <w:b/>
          <w:bCs/>
          <w:kern w:val="0"/>
          <w:sz w:val="24"/>
          <w:szCs w:val="24"/>
        </w:rPr>
        <w:t>五、存在的主要问题及改进情况</w:t>
      </w:r>
    </w:p>
    <w:p>
      <w:pPr>
        <w:widowControl/>
        <w:shd w:val="clear" w:color="auto" w:fill="FFFFFF"/>
        <w:ind w:firstLine="480"/>
        <w:rPr>
          <w:rFonts w:ascii="宋体" w:hAnsi="宋体" w:eastAsia="宋体" w:cs="宋体"/>
          <w:kern w:val="0"/>
          <w:sz w:val="24"/>
          <w:szCs w:val="24"/>
        </w:rPr>
      </w:pPr>
      <w:r>
        <w:rPr>
          <w:rFonts w:hint="eastAsia" w:ascii="宋体" w:hAnsi="宋体" w:eastAsia="宋体" w:cs="宋体"/>
          <w:kern w:val="0"/>
          <w:sz w:val="24"/>
          <w:szCs w:val="24"/>
        </w:rPr>
        <w:t>区司法局政府信息公开工作取得一定的成效，但也存在一些不足，如：依申请公开中存在为谋取个人私利的反复申请、与个人利益无关的恶意申请、以诉讼为最终目的的申请等问题。</w:t>
      </w:r>
    </w:p>
    <w:p>
      <w:pPr>
        <w:widowControl/>
        <w:shd w:val="clear" w:color="auto" w:fill="FFFFFF"/>
        <w:ind w:firstLine="480"/>
        <w:rPr>
          <w:rFonts w:ascii="宋体" w:hAnsi="宋体" w:eastAsia="宋体" w:cs="宋体"/>
          <w:kern w:val="0"/>
          <w:sz w:val="24"/>
          <w:szCs w:val="24"/>
        </w:rPr>
      </w:pPr>
      <w:r>
        <w:rPr>
          <w:rFonts w:hint="eastAsia" w:ascii="宋体" w:hAnsi="宋体" w:eastAsia="宋体" w:cs="宋体"/>
          <w:kern w:val="0"/>
          <w:sz w:val="24"/>
          <w:szCs w:val="24"/>
        </w:rPr>
        <w:t>2020年，区司法局将切实落实国务院、省市区政府对政务公开工作的要求，继续坚持以公开为常态、不公开为例外，深入推进政务公开工作。</w:t>
      </w:r>
    </w:p>
    <w:p>
      <w:pPr>
        <w:widowControl/>
        <w:shd w:val="clear" w:color="auto" w:fill="FFFFFF"/>
        <w:ind w:firstLine="480"/>
        <w:rPr>
          <w:rFonts w:ascii="宋体" w:hAnsi="宋体" w:eastAsia="宋体" w:cs="宋体"/>
          <w:bCs/>
          <w:kern w:val="0"/>
          <w:sz w:val="24"/>
          <w:szCs w:val="24"/>
        </w:rPr>
      </w:pPr>
      <w:r>
        <w:rPr>
          <w:rFonts w:hint="eastAsia" w:ascii="宋体" w:hAnsi="宋体" w:eastAsia="宋体" w:cs="宋体"/>
          <w:bCs/>
          <w:kern w:val="0"/>
          <w:sz w:val="24"/>
          <w:szCs w:val="24"/>
        </w:rPr>
        <w:t>一是继续拓宽公众参与渠道。在原有公众参与渠道基础上，创新思路，完善门户网站主动公开内容中政民互动、意见征集等栏目，继续加强微信平台建设，继续开展司法行政开放日活动，努力创新,以便民务实为目标,扩大公众参与。</w:t>
      </w:r>
    </w:p>
    <w:p>
      <w:pPr>
        <w:widowControl/>
        <w:shd w:val="clear" w:color="auto" w:fill="FFFFFF"/>
        <w:ind w:firstLine="480"/>
        <w:rPr>
          <w:rFonts w:ascii="宋体" w:hAnsi="宋体" w:eastAsia="宋体" w:cs="宋体"/>
          <w:bCs/>
          <w:kern w:val="0"/>
          <w:sz w:val="24"/>
          <w:szCs w:val="24"/>
        </w:rPr>
      </w:pPr>
      <w:r>
        <w:rPr>
          <w:rFonts w:hint="eastAsia" w:ascii="宋体" w:hAnsi="宋体" w:eastAsia="宋体" w:cs="宋体"/>
          <w:bCs/>
          <w:kern w:val="0"/>
          <w:sz w:val="24"/>
          <w:szCs w:val="24"/>
        </w:rPr>
        <w:t>二是继续完善政府信息公开制度。进一步加强主动公开，以上级检查和主动自查相结合，按照新的国家政府信息公开条例，及时改正存在的问题和不足。同时做好依申请公开的接收、登记、办理、答复，规范依申请公开工作流程。</w:t>
      </w:r>
    </w:p>
    <w:p>
      <w:pPr>
        <w:widowControl/>
        <w:shd w:val="clear" w:color="auto" w:fill="FFFFFF"/>
        <w:ind w:firstLine="480"/>
        <w:rPr>
          <w:rFonts w:ascii="宋体" w:hAnsi="宋体" w:eastAsia="宋体" w:cs="宋体"/>
          <w:kern w:val="0"/>
          <w:sz w:val="24"/>
          <w:szCs w:val="24"/>
        </w:rPr>
      </w:pPr>
      <w:r>
        <w:rPr>
          <w:rFonts w:hint="eastAsia" w:ascii="宋体" w:hAnsi="宋体" w:eastAsia="宋体" w:cs="宋体"/>
          <w:b/>
          <w:bCs/>
          <w:kern w:val="0"/>
          <w:sz w:val="24"/>
          <w:szCs w:val="24"/>
        </w:rPr>
        <w:t>六、其他需要报告的事项</w:t>
      </w:r>
    </w:p>
    <w:p>
      <w:pPr>
        <w:widowControl/>
        <w:shd w:val="clear" w:color="auto" w:fill="FFFFFF"/>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r>
        <w:rPr>
          <w:rFonts w:hint="eastAsia" w:ascii="宋体" w:hAnsi="宋体" w:eastAsia="宋体" w:cs="宋体"/>
          <w:kern w:val="0"/>
          <w:sz w:val="24"/>
          <w:szCs w:val="24"/>
        </w:rPr>
        <w:t>无</w:t>
      </w:r>
    </w:p>
    <w:p>
      <w:pPr>
        <w:widowControl/>
        <w:shd w:val="clear" w:color="auto" w:fill="FFFFFF"/>
        <w:ind w:firstLine="480"/>
        <w:rPr>
          <w:rFonts w:ascii="宋体" w:hAnsi="宋体" w:eastAsia="宋体" w:cs="宋体"/>
          <w:kern w:val="0"/>
          <w:sz w:val="24"/>
          <w:szCs w:val="24"/>
        </w:rPr>
      </w:pPr>
    </w:p>
    <w:p>
      <w:pPr>
        <w:widowControl/>
        <w:shd w:val="clear" w:color="auto" w:fill="FFFFFF"/>
        <w:ind w:firstLine="480"/>
        <w:rPr>
          <w:rFonts w:ascii="宋体" w:hAnsi="宋体" w:eastAsia="宋体" w:cs="宋体"/>
          <w:kern w:val="0"/>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sectPr>
          <w:pgSz w:w="11906" w:h="16838"/>
          <w:pgMar w:top="1440" w:right="1800" w:bottom="1440" w:left="1800" w:header="851" w:footer="992" w:gutter="0"/>
          <w:cols w:space="425" w:num="1"/>
          <w:docGrid w:type="lines" w:linePitch="312" w:charSpace="0"/>
        </w:sectPr>
      </w:pPr>
    </w:p>
    <w:p>
      <w:pPr>
        <w:rPr>
          <w:rFonts w:ascii="宋体" w:hAnsi="宋体" w:eastAsia="宋体" w:cs="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Q2MDAyNGE2Mzg1M2EzODVkYzhkMzdkNDY2MWM5ZTYifQ=="/>
  </w:docVars>
  <w:rsids>
    <w:rsidRoot w:val="00073F14"/>
    <w:rsid w:val="000022F8"/>
    <w:rsid w:val="00073F14"/>
    <w:rsid w:val="0007658C"/>
    <w:rsid w:val="000F3F11"/>
    <w:rsid w:val="00160771"/>
    <w:rsid w:val="00300CC8"/>
    <w:rsid w:val="00316E0D"/>
    <w:rsid w:val="00372273"/>
    <w:rsid w:val="00393254"/>
    <w:rsid w:val="003F25AA"/>
    <w:rsid w:val="00457C42"/>
    <w:rsid w:val="00472D41"/>
    <w:rsid w:val="0049178A"/>
    <w:rsid w:val="004F4CB9"/>
    <w:rsid w:val="00610778"/>
    <w:rsid w:val="00632381"/>
    <w:rsid w:val="007D348A"/>
    <w:rsid w:val="008E66E6"/>
    <w:rsid w:val="0093538A"/>
    <w:rsid w:val="00975AF4"/>
    <w:rsid w:val="009D4668"/>
    <w:rsid w:val="00A441DB"/>
    <w:rsid w:val="00A449D2"/>
    <w:rsid w:val="00AC1994"/>
    <w:rsid w:val="00B03652"/>
    <w:rsid w:val="00B543CE"/>
    <w:rsid w:val="00B935AC"/>
    <w:rsid w:val="00BC1F5E"/>
    <w:rsid w:val="00BD39DB"/>
    <w:rsid w:val="00C609BD"/>
    <w:rsid w:val="00C7684F"/>
    <w:rsid w:val="00C9767E"/>
    <w:rsid w:val="00CD0ED3"/>
    <w:rsid w:val="00D86F0D"/>
    <w:rsid w:val="00D9786C"/>
    <w:rsid w:val="00DF753C"/>
    <w:rsid w:val="00E609F2"/>
    <w:rsid w:val="00E67452"/>
    <w:rsid w:val="00EC7060"/>
    <w:rsid w:val="00F54553"/>
    <w:rsid w:val="00F54826"/>
    <w:rsid w:val="00F9553C"/>
    <w:rsid w:val="00FB1267"/>
    <w:rsid w:val="025317DD"/>
    <w:rsid w:val="076B10F5"/>
    <w:rsid w:val="093363BD"/>
    <w:rsid w:val="0D2C1E88"/>
    <w:rsid w:val="19392EA1"/>
    <w:rsid w:val="1BFD54F4"/>
    <w:rsid w:val="24ED159D"/>
    <w:rsid w:val="2C1752C7"/>
    <w:rsid w:val="2D516D23"/>
    <w:rsid w:val="30A16D8D"/>
    <w:rsid w:val="32E2521B"/>
    <w:rsid w:val="34A20A70"/>
    <w:rsid w:val="352810F9"/>
    <w:rsid w:val="4C6B21D6"/>
    <w:rsid w:val="4D4F3770"/>
    <w:rsid w:val="561B3CAE"/>
    <w:rsid w:val="56C34FB7"/>
    <w:rsid w:val="580702CA"/>
    <w:rsid w:val="5BC14FD7"/>
    <w:rsid w:val="7B4E0886"/>
    <w:rsid w:val="7B633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character" w:customStyle="1" w:styleId="10">
    <w:name w:val="批注框文本 Char"/>
    <w:basedOn w:val="7"/>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362</Words>
  <Characters>2064</Characters>
  <Lines>17</Lines>
  <Paragraphs>4</Paragraphs>
  <TotalTime>39</TotalTime>
  <ScaleCrop>false</ScaleCrop>
  <LinksUpToDate>false</LinksUpToDate>
  <CharactersWithSpaces>2422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2020-04-20T08:11:00Z</dcterms:created>
  <dc:creator>顾煜俊</dc:creator>
  <cp:lastModifiedBy>小胡来</cp:lastModifiedBy>
  <dcterms:modified xsi:type="dcterms:W3CDTF">2023-12-29T08:17:24Z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1209E1148CEC4C8DB5685A7FB968332E_12</vt:lpwstr>
  </property>
</Properties>
</file>