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55" w:rsidRDefault="002030CA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政府信息公开工作年度报告</w:t>
      </w:r>
    </w:p>
    <w:p w:rsidR="00FA1D55" w:rsidRDefault="00FA1D5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</w:rPr>
      </w:pPr>
    </w:p>
    <w:p w:rsidR="00FA1D55" w:rsidRDefault="002030C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一、总体情况</w:t>
      </w:r>
    </w:p>
    <w:p w:rsidR="00FA1D55" w:rsidRDefault="002030C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今年以来，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我局系统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梳理信息公开目录，加强重点领域政府信息公开力度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，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进一步加强社会公益事业建设领域和双随机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</w:rPr>
        <w:t>一公开两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</w:rPr>
        <w:t>大重点领域的政府信息公开。根据《</w:t>
      </w:r>
      <w:r w:rsidR="00490141">
        <w:rPr>
          <w:rFonts w:ascii="宋体" w:eastAsia="宋体" w:hAnsi="宋体" w:cs="宋体" w:hint="eastAsia"/>
          <w:color w:val="333333"/>
          <w:kern w:val="0"/>
          <w:sz w:val="24"/>
        </w:rPr>
        <w:t>中华人民共和国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政府信息公开条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kern w:val="0"/>
          <w:sz w:val="24"/>
        </w:rPr>
        <w:t>例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》要求，结合我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局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实际，从推进人大代表建议和政协委员提案办理结果公开、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“最多跑一次”改革事项信息公开、行政执法信息公开、民生实事信息公开、财政预决算信息公开等方面抓紧抓实抓好我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局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2020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年的政务信息公开工作。</w:t>
      </w:r>
    </w:p>
    <w:p w:rsidR="00FA1D55" w:rsidRDefault="002030C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一是制定政府信息公开相关制度。修订了《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杭州市下城区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文化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和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广电旅游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体育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局政府信息公开指南》，核实修改了《指南》中信息公开的单位主体、网站地址、公开电话、依申请公开办理流程图等信息，做到公开信息的准确、公开渠道的畅通、公开流程的清晰；梳理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并公布了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《杭州市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下城区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文化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和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广电旅游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体育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局政府信息公开目录》，加强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政府采购、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行政执法领域政府信息公开力度。调整了政府信息公开的目录结构，新增行政执法目录，进一步加强执法信息公开；进一步规范我局政府信息依申请公开工作流程，明确各处室在依申请公开办理过程中的职责、时限和工作要求，提高办事效率和服务质量。</w:t>
      </w:r>
    </w:p>
    <w:p w:rsidR="00FA1D55" w:rsidRDefault="002030C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二是明确政府信息公开申请承办单位。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2020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初，召开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局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政府信息公开专题工作会议，明确了政府信息公开相关制度、机制、办理流程等，把工作落实到处、落实到人。在工作开展中要求坚持需求导向、问题导向、效果导向，坚持“以公开为常态、不公开为例外”的原则，着力推进决策、执行、管理、服务、结果的“五公开”，进一步提升我局政务信息公开质量和实效，创新监管方式，深化简政放权，加快推动服务型政府的建设。</w:t>
      </w:r>
    </w:p>
    <w:p w:rsidR="00FA1D55" w:rsidRDefault="002030C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三是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做深政策解读，回应社会关切。进一步规范发文流程，明确政策解读与政策文件起草同步组织、同步审签、同步发布，开设政策解读类专栏集中公开。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大力做好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政策解读，并将解读内容同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步向社会公布。</w:t>
      </w:r>
    </w:p>
    <w:p w:rsidR="00FA1D55" w:rsidRDefault="002030CA">
      <w:pPr>
        <w:widowControl/>
        <w:shd w:val="clear" w:color="auto" w:fill="FFFFFF"/>
        <w:ind w:firstLine="480"/>
        <w:rPr>
          <w:rFonts w:ascii="仿宋_GB2312" w:eastAsia="仿宋_GB2312" w:hAnsi="宋体" w:cs="宋体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我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局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坚持“以公开为常态、不公开为例外”的原则，高度重视政府信息公开的落实情况。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2020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年，通过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</w:rPr>
        <w:t>局官网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</w:rPr>
        <w:t>、区政府网站、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</w:rPr>
        <w:t>微信公众号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</w:rPr>
        <w:t>、浙江政务服务网等渠道，对外公开行政许可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337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件，较上年增加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85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件；行政处罚和强制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10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件，较上年减少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件。</w:t>
      </w:r>
    </w:p>
    <w:p w:rsidR="00FA1D55" w:rsidRDefault="002030CA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FA1D55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FA1D55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FA1D55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A1D55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A1D55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FA1D5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A1D55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</w:tr>
      <w:tr w:rsidR="00FA1D55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A1D55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FA1D5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A1D55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1D55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A1D55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FA1D55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FA1D55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FA1D55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FA1D55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FA1D55" w:rsidRDefault="00FA1D5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</w:rPr>
      </w:pPr>
    </w:p>
    <w:p w:rsidR="00FA1D55" w:rsidRDefault="002030CA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FA1D55"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A1D5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A1D5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A1D55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A1D55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</w:tbl>
    <w:p w:rsidR="00FA1D55" w:rsidRDefault="00FA1D5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</w:rPr>
      </w:pPr>
    </w:p>
    <w:p w:rsidR="00FA1D55" w:rsidRDefault="002030C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四、政府信息公开行政复议、行政诉讼情况</w:t>
      </w:r>
    </w:p>
    <w:p w:rsidR="00FA1D55" w:rsidRDefault="00FA1D5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FA1D5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A1D5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A1D5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1D55" w:rsidRDefault="00FA1D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FA1D55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55" w:rsidRDefault="00203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FA1D55" w:rsidRDefault="00FA1D55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</w:rPr>
      </w:pPr>
    </w:p>
    <w:p w:rsidR="00FA1D55" w:rsidRDefault="002030C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五、存在的主要问题及改进情况</w:t>
      </w:r>
    </w:p>
    <w:p w:rsidR="00FA1D55" w:rsidRDefault="002030C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主要包括人员专业知识和公开意识仍有不足，需要进一步进行培训和提高；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</w:rPr>
        <w:t>局官网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</w:rPr>
        <w:t>、省政务服务网以及条线的信息系统之间的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</w:rPr>
        <w:t>协同仍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</w:rPr>
        <w:t>有待加强等问题。</w:t>
      </w:r>
    </w:p>
    <w:p w:rsidR="00FA1D55" w:rsidRDefault="002030C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>一是开展政府信息公开培训。年初，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我局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通过会议、线上交流等形式，对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各科室（单位）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信息公开联系员开展业务培训。二是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局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领导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召开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沟通会。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局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领导非常重视政府信息公开工作，多次召集相关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科室（单位）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负责人召开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专题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沟通会，研究部署如何做好政府信息公开工作，增强参会人员政府信息公开的意识。三是主动与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业务主管部门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沟通。在解决政府信息公开的实际问题中，与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区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政府办和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区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法制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</w:rPr>
        <w:t>办保持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</w:rPr>
        <w:t>积极地沟通和交流，更好地确保了我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局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政府信息公开工作能够更加严谨、更加充分的落到实处。</w:t>
      </w:r>
    </w:p>
    <w:p w:rsidR="00FA1D55" w:rsidRDefault="002030CA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六、其他需要报告的事项</w:t>
      </w:r>
    </w:p>
    <w:p w:rsidR="00FA1D55" w:rsidRDefault="002030CA">
      <w:pPr>
        <w:spacing w:line="360" w:lineRule="auto"/>
        <w:ind w:firstLineChars="200" w:firstLine="480"/>
        <w:contextualSpacing/>
        <w:rPr>
          <w:rFonts w:ascii="仿宋_GB2312" w:eastAsia="仿宋_GB2312" w:hAnsi="宋体" w:cs="宋体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lastRenderedPageBreak/>
        <w:t>无</w:t>
      </w:r>
    </w:p>
    <w:sectPr w:rsidR="00FA1D55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CA" w:rsidRDefault="002030CA">
      <w:r>
        <w:separator/>
      </w:r>
    </w:p>
  </w:endnote>
  <w:endnote w:type="continuationSeparator" w:id="0">
    <w:p w:rsidR="002030CA" w:rsidRDefault="0020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D55" w:rsidRDefault="00FA1D55">
    <w:pPr>
      <w:pStyle w:val="a6"/>
      <w:jc w:val="center"/>
      <w:rPr>
        <w:rFonts w:ascii="宋体" w:hAnsi="宋体" w:cs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CA" w:rsidRDefault="002030CA">
      <w:r>
        <w:separator/>
      </w:r>
    </w:p>
  </w:footnote>
  <w:footnote w:type="continuationSeparator" w:id="0">
    <w:p w:rsidR="002030CA" w:rsidRDefault="00203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2F"/>
    <w:rsid w:val="FD52C522"/>
    <w:rsid w:val="00027A1A"/>
    <w:rsid w:val="000B0043"/>
    <w:rsid w:val="000C10ED"/>
    <w:rsid w:val="000D71F1"/>
    <w:rsid w:val="00136D07"/>
    <w:rsid w:val="00151CB6"/>
    <w:rsid w:val="001569AA"/>
    <w:rsid w:val="001810AE"/>
    <w:rsid w:val="001954DA"/>
    <w:rsid w:val="001B3F23"/>
    <w:rsid w:val="001B4610"/>
    <w:rsid w:val="001B4B48"/>
    <w:rsid w:val="001E0FC3"/>
    <w:rsid w:val="002030CA"/>
    <w:rsid w:val="0020669F"/>
    <w:rsid w:val="00233B8A"/>
    <w:rsid w:val="00234358"/>
    <w:rsid w:val="002E2696"/>
    <w:rsid w:val="002E3345"/>
    <w:rsid w:val="002E49C4"/>
    <w:rsid w:val="003A38C8"/>
    <w:rsid w:val="003D6F53"/>
    <w:rsid w:val="003F6EF7"/>
    <w:rsid w:val="00420E10"/>
    <w:rsid w:val="00490141"/>
    <w:rsid w:val="00507CF5"/>
    <w:rsid w:val="00524592"/>
    <w:rsid w:val="0056138C"/>
    <w:rsid w:val="0056356B"/>
    <w:rsid w:val="0060005B"/>
    <w:rsid w:val="006138C0"/>
    <w:rsid w:val="006141D5"/>
    <w:rsid w:val="006663EC"/>
    <w:rsid w:val="006A3B74"/>
    <w:rsid w:val="006F2E59"/>
    <w:rsid w:val="007D49F1"/>
    <w:rsid w:val="007F768B"/>
    <w:rsid w:val="00846538"/>
    <w:rsid w:val="008E02E1"/>
    <w:rsid w:val="00947970"/>
    <w:rsid w:val="00950C7A"/>
    <w:rsid w:val="00974792"/>
    <w:rsid w:val="009818B0"/>
    <w:rsid w:val="00A008FA"/>
    <w:rsid w:val="00A10B40"/>
    <w:rsid w:val="00A144A0"/>
    <w:rsid w:val="00A22363"/>
    <w:rsid w:val="00A2755E"/>
    <w:rsid w:val="00A37336"/>
    <w:rsid w:val="00A7299A"/>
    <w:rsid w:val="00AE1202"/>
    <w:rsid w:val="00B07AC4"/>
    <w:rsid w:val="00B25C04"/>
    <w:rsid w:val="00B35573"/>
    <w:rsid w:val="00B35E29"/>
    <w:rsid w:val="00B545AA"/>
    <w:rsid w:val="00B613EE"/>
    <w:rsid w:val="00B85D68"/>
    <w:rsid w:val="00BC411B"/>
    <w:rsid w:val="00C22E59"/>
    <w:rsid w:val="00C445AC"/>
    <w:rsid w:val="00CF10C3"/>
    <w:rsid w:val="00D64087"/>
    <w:rsid w:val="00D749BE"/>
    <w:rsid w:val="00D85D90"/>
    <w:rsid w:val="00D93D45"/>
    <w:rsid w:val="00DA332F"/>
    <w:rsid w:val="00DD50B9"/>
    <w:rsid w:val="00DF19AD"/>
    <w:rsid w:val="00E2610A"/>
    <w:rsid w:val="00E43D8E"/>
    <w:rsid w:val="00E4498B"/>
    <w:rsid w:val="00ED6930"/>
    <w:rsid w:val="00F1208B"/>
    <w:rsid w:val="00F13CA9"/>
    <w:rsid w:val="00F5520C"/>
    <w:rsid w:val="00F560E3"/>
    <w:rsid w:val="00FA1D55"/>
    <w:rsid w:val="00FA571C"/>
    <w:rsid w:val="00FB354B"/>
    <w:rsid w:val="020E6EBB"/>
    <w:rsid w:val="02447C72"/>
    <w:rsid w:val="05003DF9"/>
    <w:rsid w:val="05B20D58"/>
    <w:rsid w:val="06E82852"/>
    <w:rsid w:val="073B50B1"/>
    <w:rsid w:val="07625374"/>
    <w:rsid w:val="07B5684A"/>
    <w:rsid w:val="08813AAD"/>
    <w:rsid w:val="091E36D7"/>
    <w:rsid w:val="093C7589"/>
    <w:rsid w:val="0EC02DA0"/>
    <w:rsid w:val="118519F8"/>
    <w:rsid w:val="12D95AD7"/>
    <w:rsid w:val="134E7088"/>
    <w:rsid w:val="13D169E2"/>
    <w:rsid w:val="13F2448D"/>
    <w:rsid w:val="15B979C2"/>
    <w:rsid w:val="16B47DF4"/>
    <w:rsid w:val="16C90B70"/>
    <w:rsid w:val="16FE695A"/>
    <w:rsid w:val="170517E2"/>
    <w:rsid w:val="173805EB"/>
    <w:rsid w:val="19855762"/>
    <w:rsid w:val="198D4848"/>
    <w:rsid w:val="1A363A0E"/>
    <w:rsid w:val="1A5D6335"/>
    <w:rsid w:val="1B2B236B"/>
    <w:rsid w:val="1B62359C"/>
    <w:rsid w:val="21A80401"/>
    <w:rsid w:val="23E2002F"/>
    <w:rsid w:val="26007618"/>
    <w:rsid w:val="26385BDF"/>
    <w:rsid w:val="283B7550"/>
    <w:rsid w:val="28A621A1"/>
    <w:rsid w:val="2966399E"/>
    <w:rsid w:val="2B646F1A"/>
    <w:rsid w:val="2B9F14E8"/>
    <w:rsid w:val="2BFF5405"/>
    <w:rsid w:val="2D924E5C"/>
    <w:rsid w:val="2E603BAD"/>
    <w:rsid w:val="2F0E58CB"/>
    <w:rsid w:val="2F134968"/>
    <w:rsid w:val="301973EF"/>
    <w:rsid w:val="329D32A1"/>
    <w:rsid w:val="33603C4B"/>
    <w:rsid w:val="3415190F"/>
    <w:rsid w:val="355063DA"/>
    <w:rsid w:val="368202C1"/>
    <w:rsid w:val="38153173"/>
    <w:rsid w:val="388440A6"/>
    <w:rsid w:val="39550C8F"/>
    <w:rsid w:val="3D0831AD"/>
    <w:rsid w:val="3E40410F"/>
    <w:rsid w:val="3F9E227E"/>
    <w:rsid w:val="47F02635"/>
    <w:rsid w:val="48CD7CF2"/>
    <w:rsid w:val="48CF1182"/>
    <w:rsid w:val="49CE5EC7"/>
    <w:rsid w:val="49CF10B9"/>
    <w:rsid w:val="4A6C2095"/>
    <w:rsid w:val="4B8B65A5"/>
    <w:rsid w:val="4BCC53AA"/>
    <w:rsid w:val="4C25426E"/>
    <w:rsid w:val="4D8D55CF"/>
    <w:rsid w:val="4DED1613"/>
    <w:rsid w:val="4F496C18"/>
    <w:rsid w:val="4F51078F"/>
    <w:rsid w:val="51465AD9"/>
    <w:rsid w:val="51895F4A"/>
    <w:rsid w:val="523C3ED5"/>
    <w:rsid w:val="53483CC1"/>
    <w:rsid w:val="54092BE1"/>
    <w:rsid w:val="54786EC8"/>
    <w:rsid w:val="54A82FC3"/>
    <w:rsid w:val="54AF7FD7"/>
    <w:rsid w:val="55594FAD"/>
    <w:rsid w:val="56B14AC8"/>
    <w:rsid w:val="571C370A"/>
    <w:rsid w:val="57602C9A"/>
    <w:rsid w:val="58307C5F"/>
    <w:rsid w:val="59FA7A3C"/>
    <w:rsid w:val="5A9E234F"/>
    <w:rsid w:val="5AA86299"/>
    <w:rsid w:val="5BDA52C8"/>
    <w:rsid w:val="5C4C5890"/>
    <w:rsid w:val="5EFB518E"/>
    <w:rsid w:val="5F6324CC"/>
    <w:rsid w:val="62BA2877"/>
    <w:rsid w:val="63890F3D"/>
    <w:rsid w:val="66515271"/>
    <w:rsid w:val="673C2C8D"/>
    <w:rsid w:val="67437EFA"/>
    <w:rsid w:val="67D85387"/>
    <w:rsid w:val="68AE0A7C"/>
    <w:rsid w:val="695C63BD"/>
    <w:rsid w:val="69B95989"/>
    <w:rsid w:val="69DE2FD7"/>
    <w:rsid w:val="6A7964C9"/>
    <w:rsid w:val="713F7E36"/>
    <w:rsid w:val="71A06B88"/>
    <w:rsid w:val="72767C6A"/>
    <w:rsid w:val="74A22F42"/>
    <w:rsid w:val="750C03E9"/>
    <w:rsid w:val="7938598F"/>
    <w:rsid w:val="7A4931A2"/>
    <w:rsid w:val="7ADE3B13"/>
    <w:rsid w:val="7B4942E0"/>
    <w:rsid w:val="7B6206E6"/>
    <w:rsid w:val="7BBE1A87"/>
    <w:rsid w:val="7C7D7AC0"/>
    <w:rsid w:val="7CF9108D"/>
    <w:rsid w:val="7D210F14"/>
    <w:rsid w:val="7D4C6F93"/>
    <w:rsid w:val="7E434D17"/>
    <w:rsid w:val="7E9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CFEF92-05E8-4414-855A-7AC03D7D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napToGrid w:val="0"/>
      <w:spacing w:line="540" w:lineRule="exact"/>
      <w:ind w:firstLineChars="200" w:firstLine="200"/>
    </w:pPr>
    <w:rPr>
      <w:rFonts w:ascii="宋体" w:eastAsia="宋体"/>
      <w:sz w:val="24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398</Words>
  <Characters>2274</Characters>
  <Application>Microsoft Office Word</Application>
  <DocSecurity>0</DocSecurity>
  <Lines>18</Lines>
  <Paragraphs>5</Paragraphs>
  <ScaleCrop>false</ScaleCrop>
  <Company>Sky123.Org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lhm</dc:creator>
  <cp:lastModifiedBy>risen</cp:lastModifiedBy>
  <cp:revision>8</cp:revision>
  <cp:lastPrinted>2021-01-04T08:27:00Z</cp:lastPrinted>
  <dcterms:created xsi:type="dcterms:W3CDTF">2021-01-04T04:07:00Z</dcterms:created>
  <dcterms:modified xsi:type="dcterms:W3CDTF">2021-03-19T06:48:00Z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