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hint="eastAsia" w:ascii="宋体" w:hAnsi="宋体" w:cs="宋体"/>
          <w:kern w:val="0"/>
          <w:sz w:val="24"/>
          <w:szCs w:val="24"/>
        </w:rPr>
      </w:pPr>
      <w:r>
        <w:rPr>
          <w:rFonts w:hint="eastAsia" w:ascii="宋体" w:hAnsi="宋体" w:cs="宋体"/>
          <w:b/>
          <w:bCs/>
          <w:kern w:val="0"/>
          <w:sz w:val="36"/>
          <w:szCs w:val="36"/>
        </w:rPr>
        <w:t>政府信息公开工作年度报告</w:t>
      </w:r>
    </w:p>
    <w:p>
      <w:pPr>
        <w:widowControl/>
        <w:spacing w:line="432" w:lineRule="auto"/>
        <w:ind w:firstLine="480"/>
        <w:rPr>
          <w:rFonts w:hint="eastAsia" w:ascii="宋体" w:hAnsi="宋体" w:cs="宋体"/>
          <w:kern w:val="0"/>
          <w:sz w:val="24"/>
          <w:szCs w:val="24"/>
        </w:rPr>
      </w:pPr>
    </w:p>
    <w:p>
      <w:pPr>
        <w:widowControl/>
        <w:spacing w:line="432" w:lineRule="auto"/>
        <w:ind w:firstLine="480"/>
        <w:rPr>
          <w:rFonts w:hint="eastAsia" w:ascii="宋体" w:hAnsi="宋体" w:cs="宋体"/>
          <w:color w:val="auto"/>
          <w:kern w:val="0"/>
          <w:sz w:val="24"/>
          <w:szCs w:val="24"/>
        </w:rPr>
      </w:pPr>
      <w:r>
        <w:rPr>
          <w:rFonts w:hint="eastAsia" w:ascii="宋体" w:hAnsi="宋体" w:cs="宋体"/>
          <w:b/>
          <w:bCs/>
          <w:color w:val="auto"/>
          <w:kern w:val="0"/>
          <w:sz w:val="24"/>
          <w:szCs w:val="24"/>
        </w:rPr>
        <w:t>一、总体情况</w:t>
      </w:r>
    </w:p>
    <w:p>
      <w:pPr>
        <w:widowControl/>
        <w:numPr>
          <w:ilvl w:val="0"/>
          <w:numId w:val="1"/>
        </w:numPr>
        <w:shd w:val="clear" w:color="auto" w:fill="FFFFFF"/>
        <w:rPr>
          <w:rFonts w:hint="default"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主动公开情况</w:t>
      </w:r>
    </w:p>
    <w:p>
      <w:pPr>
        <w:widowControl/>
        <w:shd w:val="clear" w:color="auto" w:fill="FFFFFF"/>
        <w:ind w:firstLine="480"/>
        <w:rPr>
          <w:rFonts w:hint="eastAsia" w:ascii="宋体" w:hAnsi="宋体" w:eastAsia="宋体" w:cs="宋体"/>
          <w:color w:val="auto"/>
          <w:kern w:val="0"/>
          <w:sz w:val="24"/>
          <w:lang w:val="en-US" w:eastAsia="zh-CN"/>
        </w:rPr>
      </w:pPr>
      <w:r>
        <w:rPr>
          <w:rFonts w:hint="eastAsia" w:ascii="宋体" w:hAnsi="宋体" w:cs="宋体"/>
          <w:b w:val="0"/>
          <w:bCs w:val="0"/>
          <w:color w:val="auto"/>
          <w:kern w:val="0"/>
          <w:sz w:val="24"/>
          <w:szCs w:val="24"/>
        </w:rPr>
        <w:t>按规定公开</w:t>
      </w:r>
      <w:r>
        <w:rPr>
          <w:rFonts w:hint="eastAsia" w:ascii="宋体" w:hAnsi="宋体" w:cs="宋体"/>
          <w:b w:val="0"/>
          <w:bCs w:val="0"/>
          <w:color w:val="auto"/>
          <w:kern w:val="0"/>
          <w:sz w:val="24"/>
          <w:szCs w:val="24"/>
          <w:lang w:eastAsia="zh-CN"/>
        </w:rPr>
        <w:t>机构设置、监督检查、行政执法</w:t>
      </w:r>
      <w:r>
        <w:rPr>
          <w:rFonts w:hint="eastAsia" w:ascii="宋体" w:hAnsi="宋体" w:cs="宋体"/>
          <w:b w:val="0"/>
          <w:bCs w:val="0"/>
          <w:color w:val="auto"/>
          <w:kern w:val="0"/>
          <w:sz w:val="24"/>
          <w:szCs w:val="24"/>
        </w:rPr>
        <w:t>等信息，</w:t>
      </w:r>
      <w:r>
        <w:rPr>
          <w:rFonts w:hint="eastAsia" w:ascii="宋体" w:hAnsi="宋体" w:cs="宋体"/>
          <w:b w:val="0"/>
          <w:bCs w:val="0"/>
          <w:color w:val="auto"/>
          <w:kern w:val="0"/>
          <w:sz w:val="24"/>
          <w:szCs w:val="24"/>
          <w:lang w:val="en-US" w:eastAsia="zh-CN"/>
        </w:rPr>
        <w:t>重点关注公共文体</w:t>
      </w:r>
      <w:r>
        <w:rPr>
          <w:rFonts w:hint="eastAsia" w:ascii="宋体" w:hAnsi="宋体" w:cs="宋体"/>
          <w:b w:val="0"/>
          <w:bCs w:val="0"/>
          <w:color w:val="auto"/>
          <w:kern w:val="0"/>
          <w:sz w:val="24"/>
          <w:szCs w:val="24"/>
          <w:lang w:eastAsia="zh-CN"/>
        </w:rPr>
        <w:t>重点领域信息公开，</w:t>
      </w:r>
      <w:r>
        <w:rPr>
          <w:rFonts w:hint="eastAsia" w:ascii="宋体" w:hAnsi="宋体" w:cs="宋体"/>
          <w:b w:val="0"/>
          <w:bCs w:val="0"/>
          <w:color w:val="auto"/>
          <w:kern w:val="0"/>
          <w:sz w:val="24"/>
          <w:szCs w:val="24"/>
          <w:lang w:val="en-US" w:eastAsia="zh-CN"/>
        </w:rPr>
        <w:t>积极做好行政文化许可与处罚、公共文化服务活动、公共文化场所信息一以及公共文化资金投入使用情况公示。</w:t>
      </w:r>
      <w:r>
        <w:rPr>
          <w:rFonts w:hint="eastAsia" w:ascii="宋体" w:hAnsi="宋体" w:eastAsia="宋体" w:cs="宋体"/>
          <w:color w:val="auto"/>
          <w:kern w:val="0"/>
          <w:sz w:val="24"/>
          <w:lang w:val="en-US" w:eastAsia="zh-CN"/>
        </w:rPr>
        <w:t>截止到202</w:t>
      </w:r>
      <w:r>
        <w:rPr>
          <w:rFonts w:hint="eastAsia" w:ascii="宋体" w:hAnsi="宋体" w:cs="宋体"/>
          <w:color w:val="auto"/>
          <w:kern w:val="0"/>
          <w:sz w:val="24"/>
          <w:lang w:val="en-US" w:eastAsia="zh-CN"/>
        </w:rPr>
        <w:t>1</w:t>
      </w:r>
      <w:r>
        <w:rPr>
          <w:rFonts w:hint="eastAsia" w:ascii="宋体" w:hAnsi="宋体" w:eastAsia="宋体" w:cs="宋体"/>
          <w:color w:val="auto"/>
          <w:kern w:val="0"/>
          <w:sz w:val="24"/>
          <w:lang w:val="en-US" w:eastAsia="zh-CN"/>
        </w:rPr>
        <w:t>年12月31日，区文广旅体局累计主动公开</w:t>
      </w:r>
      <w:r>
        <w:rPr>
          <w:rFonts w:hint="eastAsia" w:ascii="宋体" w:hAnsi="宋体" w:cs="宋体"/>
          <w:color w:val="auto"/>
          <w:kern w:val="0"/>
          <w:sz w:val="24"/>
          <w:lang w:val="en-US" w:eastAsia="zh-CN"/>
        </w:rPr>
        <w:t>部门动态</w:t>
      </w:r>
      <w:r>
        <w:rPr>
          <w:rFonts w:hint="eastAsia" w:ascii="宋体" w:hAnsi="宋体" w:eastAsia="宋体" w:cs="宋体"/>
          <w:color w:val="auto"/>
          <w:kern w:val="0"/>
          <w:sz w:val="24"/>
          <w:lang w:val="en-US" w:eastAsia="zh-CN"/>
        </w:rPr>
        <w:t>信息</w:t>
      </w:r>
      <w:r>
        <w:rPr>
          <w:rFonts w:hint="eastAsia" w:ascii="宋体" w:hAnsi="宋体" w:cs="宋体"/>
          <w:color w:val="auto"/>
          <w:kern w:val="0"/>
          <w:sz w:val="24"/>
          <w:lang w:val="en-US" w:eastAsia="zh-CN"/>
        </w:rPr>
        <w:t>56</w:t>
      </w:r>
      <w:r>
        <w:rPr>
          <w:rFonts w:hint="eastAsia" w:ascii="宋体" w:hAnsi="宋体" w:eastAsia="宋体" w:cs="宋体"/>
          <w:color w:val="auto"/>
          <w:kern w:val="0"/>
          <w:sz w:val="24"/>
          <w:lang w:val="en-US" w:eastAsia="zh-CN"/>
        </w:rPr>
        <w:t>条。</w:t>
      </w:r>
    </w:p>
    <w:p>
      <w:pPr>
        <w:widowControl/>
        <w:numPr>
          <w:ilvl w:val="0"/>
          <w:numId w:val="1"/>
        </w:numPr>
        <w:shd w:val="clear" w:color="auto" w:fill="FFFFFF"/>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依申请公开情况</w:t>
      </w:r>
    </w:p>
    <w:p>
      <w:pPr>
        <w:widowControl/>
        <w:numPr>
          <w:ilvl w:val="0"/>
          <w:numId w:val="0"/>
        </w:numPr>
        <w:shd w:val="clear" w:color="auto" w:fill="FFFFFF"/>
        <w:ind w:leftChars="0"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202</w:t>
      </w:r>
      <w:r>
        <w:rPr>
          <w:rFonts w:hint="eastAsia" w:ascii="宋体" w:hAnsi="宋体" w:cs="宋体"/>
          <w:color w:val="auto"/>
          <w:kern w:val="0"/>
          <w:sz w:val="24"/>
          <w:lang w:val="en-US" w:eastAsia="zh-CN"/>
        </w:rPr>
        <w:t>1</w:t>
      </w:r>
      <w:r>
        <w:rPr>
          <w:rFonts w:hint="eastAsia" w:ascii="宋体" w:hAnsi="宋体" w:eastAsia="宋体" w:cs="宋体"/>
          <w:color w:val="auto"/>
          <w:kern w:val="0"/>
          <w:sz w:val="24"/>
          <w:lang w:val="en-US" w:eastAsia="zh-CN"/>
        </w:rPr>
        <w:t>年度我局未收到信息公开申请</w:t>
      </w:r>
      <w:r>
        <w:rPr>
          <w:rFonts w:hint="eastAsia" w:ascii="宋体" w:hAnsi="宋体" w:cs="宋体"/>
          <w:color w:val="auto"/>
          <w:kern w:val="0"/>
          <w:sz w:val="24"/>
          <w:lang w:val="en-US" w:eastAsia="zh-CN"/>
        </w:rPr>
        <w:t>。</w:t>
      </w:r>
    </w:p>
    <w:p>
      <w:pPr>
        <w:widowControl/>
        <w:numPr>
          <w:ilvl w:val="0"/>
          <w:numId w:val="1"/>
        </w:numPr>
        <w:shd w:val="clear" w:color="auto" w:fill="FFFFFF"/>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信息管理情况</w:t>
      </w:r>
    </w:p>
    <w:p>
      <w:pPr>
        <w:widowControl/>
        <w:numPr>
          <w:numId w:val="0"/>
        </w:numPr>
        <w:shd w:val="clear" w:color="auto" w:fill="FFFFFF"/>
        <w:rPr>
          <w:rFonts w:hint="eastAsia" w:ascii="宋体" w:hAnsi="宋体" w:eastAsia="宋体" w:cs="宋体"/>
          <w:color w:val="auto"/>
          <w:kern w:val="0"/>
          <w:sz w:val="24"/>
        </w:rPr>
      </w:pPr>
      <w:r>
        <w:rPr>
          <w:rFonts w:hint="eastAsia" w:ascii="宋体" w:hAnsi="宋体" w:eastAsia="宋体" w:cs="宋体"/>
          <w:color w:val="auto"/>
          <w:kern w:val="0"/>
          <w:sz w:val="24"/>
        </w:rPr>
        <w:t>制定政府信息公开相关制度。修订了《</w:t>
      </w:r>
      <w:r>
        <w:rPr>
          <w:rFonts w:hint="eastAsia" w:ascii="宋体" w:hAnsi="宋体" w:eastAsia="宋体" w:cs="宋体"/>
          <w:color w:val="auto"/>
          <w:kern w:val="0"/>
          <w:sz w:val="24"/>
          <w:lang w:val="en-US" w:eastAsia="zh-CN"/>
        </w:rPr>
        <w:t>杭州市</w:t>
      </w:r>
      <w:r>
        <w:rPr>
          <w:rFonts w:hint="eastAsia" w:ascii="宋体" w:hAnsi="宋体" w:cs="宋体"/>
          <w:color w:val="auto"/>
          <w:kern w:val="0"/>
          <w:sz w:val="24"/>
          <w:lang w:val="en-US" w:eastAsia="zh-CN"/>
        </w:rPr>
        <w:t>拱墅区</w:t>
      </w:r>
      <w:r>
        <w:rPr>
          <w:rFonts w:hint="eastAsia" w:ascii="宋体" w:hAnsi="宋体" w:eastAsia="宋体" w:cs="宋体"/>
          <w:color w:val="auto"/>
          <w:kern w:val="0"/>
          <w:sz w:val="24"/>
        </w:rPr>
        <w:t>文化</w:t>
      </w:r>
      <w:r>
        <w:rPr>
          <w:rFonts w:hint="eastAsia" w:ascii="宋体" w:hAnsi="宋体" w:eastAsia="宋体" w:cs="宋体"/>
          <w:color w:val="auto"/>
          <w:kern w:val="0"/>
          <w:sz w:val="24"/>
          <w:lang w:val="en-US" w:eastAsia="zh-CN"/>
        </w:rPr>
        <w:t>和</w:t>
      </w:r>
      <w:r>
        <w:rPr>
          <w:rFonts w:hint="eastAsia" w:ascii="宋体" w:hAnsi="宋体" w:eastAsia="宋体" w:cs="宋体"/>
          <w:color w:val="auto"/>
          <w:kern w:val="0"/>
          <w:sz w:val="24"/>
        </w:rPr>
        <w:t>广电旅游</w:t>
      </w:r>
      <w:r>
        <w:rPr>
          <w:rFonts w:hint="eastAsia" w:ascii="宋体" w:hAnsi="宋体" w:eastAsia="宋体" w:cs="宋体"/>
          <w:color w:val="auto"/>
          <w:kern w:val="0"/>
          <w:sz w:val="24"/>
          <w:lang w:val="en-US" w:eastAsia="zh-CN"/>
        </w:rPr>
        <w:t>体育</w:t>
      </w:r>
      <w:r>
        <w:rPr>
          <w:rFonts w:hint="eastAsia" w:ascii="宋体" w:hAnsi="宋体" w:eastAsia="宋体" w:cs="宋体"/>
          <w:color w:val="auto"/>
          <w:kern w:val="0"/>
          <w:sz w:val="24"/>
        </w:rPr>
        <w:t>局政府信息公开指南》，核实修改了《指南》中信息公开的单位主体、网站地址、公开电话、依申请公开办理流程图等信息，做到公开信息的准确、公开渠道的畅通、公开流程的清晰；梳理</w:t>
      </w:r>
      <w:r>
        <w:rPr>
          <w:rFonts w:hint="eastAsia" w:ascii="宋体" w:hAnsi="宋体" w:eastAsia="宋体" w:cs="宋体"/>
          <w:color w:val="auto"/>
          <w:kern w:val="0"/>
          <w:sz w:val="24"/>
          <w:lang w:val="en-US" w:eastAsia="zh-CN"/>
        </w:rPr>
        <w:t>并公布了</w:t>
      </w:r>
      <w:r>
        <w:rPr>
          <w:rFonts w:hint="eastAsia" w:ascii="宋体" w:hAnsi="宋体" w:eastAsia="宋体" w:cs="宋体"/>
          <w:color w:val="auto"/>
          <w:kern w:val="0"/>
          <w:sz w:val="24"/>
        </w:rPr>
        <w:t>《杭州市</w:t>
      </w:r>
      <w:r>
        <w:rPr>
          <w:rFonts w:hint="eastAsia" w:ascii="宋体" w:hAnsi="宋体" w:cs="宋体"/>
          <w:color w:val="auto"/>
          <w:kern w:val="0"/>
          <w:sz w:val="24"/>
          <w:lang w:val="en-US" w:eastAsia="zh-CN"/>
        </w:rPr>
        <w:t>拱墅</w:t>
      </w:r>
      <w:r>
        <w:rPr>
          <w:rFonts w:hint="eastAsia" w:ascii="宋体" w:hAnsi="宋体" w:eastAsia="宋体" w:cs="宋体"/>
          <w:color w:val="auto"/>
          <w:kern w:val="0"/>
          <w:sz w:val="24"/>
          <w:lang w:val="en-US" w:eastAsia="zh-CN"/>
        </w:rPr>
        <w:t>区</w:t>
      </w:r>
      <w:r>
        <w:rPr>
          <w:rFonts w:hint="eastAsia" w:ascii="宋体" w:hAnsi="宋体" w:eastAsia="宋体" w:cs="宋体"/>
          <w:color w:val="auto"/>
          <w:kern w:val="0"/>
          <w:sz w:val="24"/>
        </w:rPr>
        <w:t>文化</w:t>
      </w:r>
      <w:r>
        <w:rPr>
          <w:rFonts w:hint="eastAsia" w:ascii="宋体" w:hAnsi="宋体" w:eastAsia="宋体" w:cs="宋体"/>
          <w:color w:val="auto"/>
          <w:kern w:val="0"/>
          <w:sz w:val="24"/>
          <w:lang w:val="en-US" w:eastAsia="zh-CN"/>
        </w:rPr>
        <w:t>和</w:t>
      </w:r>
      <w:r>
        <w:rPr>
          <w:rFonts w:hint="eastAsia" w:ascii="宋体" w:hAnsi="宋体" w:eastAsia="宋体" w:cs="宋体"/>
          <w:color w:val="auto"/>
          <w:kern w:val="0"/>
          <w:sz w:val="24"/>
        </w:rPr>
        <w:t>广电旅游</w:t>
      </w:r>
      <w:r>
        <w:rPr>
          <w:rFonts w:hint="eastAsia" w:ascii="宋体" w:hAnsi="宋体" w:eastAsia="宋体" w:cs="宋体"/>
          <w:color w:val="auto"/>
          <w:kern w:val="0"/>
          <w:sz w:val="24"/>
          <w:lang w:val="en-US" w:eastAsia="zh-CN"/>
        </w:rPr>
        <w:t>体育</w:t>
      </w:r>
      <w:r>
        <w:rPr>
          <w:rFonts w:hint="eastAsia" w:ascii="宋体" w:hAnsi="宋体" w:eastAsia="宋体" w:cs="宋体"/>
          <w:color w:val="auto"/>
          <w:kern w:val="0"/>
          <w:sz w:val="24"/>
        </w:rPr>
        <w:t>局政府信息公开目录》，加强</w:t>
      </w:r>
      <w:r>
        <w:rPr>
          <w:rFonts w:hint="eastAsia" w:ascii="宋体" w:hAnsi="宋体" w:eastAsia="宋体" w:cs="宋体"/>
          <w:color w:val="auto"/>
          <w:kern w:val="0"/>
          <w:sz w:val="24"/>
          <w:lang w:val="en-US" w:eastAsia="zh-CN"/>
        </w:rPr>
        <w:t>政府采购、</w:t>
      </w:r>
      <w:r>
        <w:rPr>
          <w:rFonts w:hint="eastAsia" w:ascii="宋体" w:hAnsi="宋体" w:eastAsia="宋体" w:cs="宋体"/>
          <w:color w:val="auto"/>
          <w:kern w:val="0"/>
          <w:sz w:val="24"/>
        </w:rPr>
        <w:t>行政执法领域政府信息公开力度。</w:t>
      </w:r>
    </w:p>
    <w:p>
      <w:pPr>
        <w:widowControl/>
        <w:numPr>
          <w:ilvl w:val="0"/>
          <w:numId w:val="1"/>
        </w:numPr>
        <w:shd w:val="clear" w:color="auto" w:fill="FFFFFF"/>
        <w:ind w:left="0" w:leftChars="0" w:firstLine="0" w:firstLineChars="0"/>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平台建设情况</w:t>
      </w:r>
    </w:p>
    <w:p>
      <w:pPr>
        <w:widowControl/>
        <w:numPr>
          <w:numId w:val="0"/>
        </w:numPr>
        <w:shd w:val="clear" w:color="auto" w:fill="FFFFFF"/>
        <w:ind w:leftChars="0"/>
        <w:rPr>
          <w:rFonts w:hint="eastAsia" w:ascii="宋体" w:hAnsi="宋体" w:eastAsia="宋体" w:cs="宋体"/>
          <w:color w:val="auto"/>
          <w:kern w:val="0"/>
          <w:sz w:val="24"/>
        </w:rPr>
      </w:pPr>
      <w:r>
        <w:rPr>
          <w:rFonts w:hint="eastAsia" w:ascii="宋体" w:hAnsi="宋体" w:eastAsia="宋体" w:cs="宋体"/>
          <w:color w:val="auto"/>
          <w:kern w:val="0"/>
          <w:sz w:val="24"/>
        </w:rPr>
        <w:t>我</w:t>
      </w:r>
      <w:r>
        <w:rPr>
          <w:rFonts w:hint="eastAsia" w:ascii="宋体" w:hAnsi="宋体" w:eastAsia="宋体" w:cs="宋体"/>
          <w:color w:val="auto"/>
          <w:kern w:val="0"/>
          <w:sz w:val="24"/>
          <w:lang w:eastAsia="zh-CN"/>
        </w:rPr>
        <w:t>局</w:t>
      </w:r>
      <w:r>
        <w:rPr>
          <w:rFonts w:hint="eastAsia" w:ascii="宋体" w:hAnsi="宋体" w:eastAsia="宋体" w:cs="宋体"/>
          <w:color w:val="auto"/>
          <w:kern w:val="0"/>
          <w:sz w:val="24"/>
        </w:rPr>
        <w:t>坚持“以公开为常态、不公开为例外”的原则，高度重视政府信息公开的落实情况</w:t>
      </w:r>
      <w:r>
        <w:rPr>
          <w:rFonts w:hint="eastAsia" w:ascii="宋体" w:hAnsi="宋体" w:eastAsia="宋体" w:cs="宋体"/>
          <w:color w:val="auto"/>
          <w:kern w:val="0"/>
          <w:sz w:val="24"/>
          <w:lang w:val="en-US" w:eastAsia="zh-CN"/>
        </w:rPr>
        <w:t>，及时更新各栏目信息，做到部门动态每周更新三次，政策文件合理公开，通知公告及时公开，确保信息公开及时性。</w:t>
      </w:r>
    </w:p>
    <w:p>
      <w:pPr>
        <w:widowControl/>
        <w:numPr>
          <w:ilvl w:val="0"/>
          <w:numId w:val="1"/>
        </w:numPr>
        <w:shd w:val="clear" w:color="auto" w:fill="FFFFFF"/>
        <w:rPr>
          <w:rFonts w:hint="default"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监督保障情况</w:t>
      </w:r>
    </w:p>
    <w:p>
      <w:pPr>
        <w:widowControl/>
        <w:shd w:val="clear" w:color="auto" w:fill="FFFFFF"/>
        <w:ind w:firstLine="480"/>
        <w:rPr>
          <w:rFonts w:hint="eastAsia" w:ascii="宋体" w:hAnsi="宋体" w:cs="宋体"/>
          <w:b w:val="0"/>
          <w:bCs w:val="0"/>
          <w:color w:val="auto"/>
          <w:kern w:val="0"/>
          <w:sz w:val="24"/>
          <w:szCs w:val="24"/>
          <w:lang w:eastAsia="zh-CN"/>
        </w:rPr>
      </w:pPr>
      <w:r>
        <w:rPr>
          <w:rFonts w:hint="eastAsia" w:ascii="宋体" w:hAnsi="宋体" w:eastAsia="宋体" w:cs="宋体"/>
          <w:color w:val="auto"/>
          <w:kern w:val="0"/>
          <w:sz w:val="24"/>
        </w:rPr>
        <w:t>明确政府信息公开申请承办单位。</w:t>
      </w:r>
      <w:r>
        <w:rPr>
          <w:rFonts w:hint="eastAsia" w:ascii="宋体" w:hAnsi="宋体" w:eastAsia="宋体" w:cs="宋体"/>
          <w:color w:val="auto"/>
          <w:kern w:val="0"/>
          <w:sz w:val="24"/>
          <w:lang w:val="en-US" w:eastAsia="zh-CN"/>
        </w:rPr>
        <w:t>202</w:t>
      </w:r>
      <w:r>
        <w:rPr>
          <w:rFonts w:hint="eastAsia" w:ascii="宋体" w:hAnsi="宋体" w:cs="宋体"/>
          <w:color w:val="auto"/>
          <w:kern w:val="0"/>
          <w:sz w:val="24"/>
          <w:lang w:val="en-US" w:eastAsia="zh-CN"/>
        </w:rPr>
        <w:t>1</w:t>
      </w:r>
      <w:r>
        <w:rPr>
          <w:rFonts w:hint="eastAsia" w:ascii="宋体" w:hAnsi="宋体" w:eastAsia="宋体" w:cs="宋体"/>
          <w:color w:val="auto"/>
          <w:kern w:val="0"/>
          <w:sz w:val="24"/>
        </w:rPr>
        <w:t>年初，召开</w:t>
      </w:r>
      <w:r>
        <w:rPr>
          <w:rFonts w:hint="eastAsia" w:ascii="宋体" w:hAnsi="宋体" w:eastAsia="宋体" w:cs="宋体"/>
          <w:color w:val="auto"/>
          <w:kern w:val="0"/>
          <w:sz w:val="24"/>
          <w:lang w:eastAsia="zh-CN"/>
        </w:rPr>
        <w:t>局</w:t>
      </w:r>
      <w:r>
        <w:rPr>
          <w:rFonts w:hint="eastAsia" w:ascii="宋体" w:hAnsi="宋体" w:eastAsia="宋体" w:cs="宋体"/>
          <w:color w:val="auto"/>
          <w:kern w:val="0"/>
          <w:sz w:val="24"/>
        </w:rPr>
        <w:t>政府信息公开专题工作会议，明确了政府信息公开相关制度、机制、办理流程等，坚持“以公开为常态、不公开为例外”的原则，着力推进决策、执行、管理、服务、结果的“五公开”，进一步提升我局政务信息公开质量和实效。</w:t>
      </w:r>
      <w:r>
        <w:rPr>
          <w:rFonts w:hint="eastAsia" w:ascii="宋体" w:hAnsi="宋体" w:cs="宋体"/>
          <w:b w:val="0"/>
          <w:bCs w:val="0"/>
          <w:color w:val="auto"/>
          <w:kern w:val="0"/>
          <w:sz w:val="24"/>
          <w:szCs w:val="24"/>
          <w:lang w:eastAsia="zh-CN"/>
        </w:rPr>
        <w:t>健全审查、培训、台账管理等政府信息管理制度。认真贯彻落实办公室发布信息内部审查制度，按照</w:t>
      </w:r>
      <w:r>
        <w:rPr>
          <w:rFonts w:hint="eastAsia" w:ascii="宋体" w:hAnsi="宋体" w:cs="宋体"/>
          <w:b w:val="0"/>
          <w:bCs w:val="0"/>
          <w:color w:val="auto"/>
          <w:kern w:val="0"/>
          <w:sz w:val="24"/>
          <w:szCs w:val="24"/>
          <w:lang w:val="en-US" w:eastAsia="zh-CN"/>
        </w:rPr>
        <w:t>科室</w:t>
      </w:r>
      <w:r>
        <w:rPr>
          <w:rFonts w:hint="eastAsia" w:ascii="宋体" w:hAnsi="宋体" w:cs="宋体"/>
          <w:b w:val="0"/>
          <w:bCs w:val="0"/>
          <w:color w:val="auto"/>
          <w:kern w:val="0"/>
          <w:sz w:val="24"/>
          <w:szCs w:val="24"/>
          <w:lang w:eastAsia="zh-CN"/>
        </w:rPr>
        <w:t>起草、</w:t>
      </w:r>
      <w:r>
        <w:rPr>
          <w:rFonts w:hint="eastAsia" w:ascii="宋体" w:hAnsi="宋体" w:cs="宋体"/>
          <w:b w:val="0"/>
          <w:bCs w:val="0"/>
          <w:color w:val="auto"/>
          <w:kern w:val="0"/>
          <w:sz w:val="24"/>
          <w:szCs w:val="24"/>
          <w:lang w:val="en-US" w:eastAsia="zh-CN"/>
        </w:rPr>
        <w:t>办公室</w:t>
      </w:r>
      <w:r>
        <w:rPr>
          <w:rFonts w:hint="eastAsia" w:ascii="宋体" w:hAnsi="宋体" w:cs="宋体"/>
          <w:b w:val="0"/>
          <w:bCs w:val="0"/>
          <w:color w:val="auto"/>
          <w:kern w:val="0"/>
          <w:sz w:val="24"/>
          <w:szCs w:val="24"/>
          <w:lang w:eastAsia="zh-CN"/>
        </w:rPr>
        <w:t>审核、</w:t>
      </w:r>
      <w:r>
        <w:rPr>
          <w:rFonts w:hint="eastAsia" w:ascii="宋体" w:hAnsi="宋体" w:cs="宋体"/>
          <w:b w:val="0"/>
          <w:bCs w:val="0"/>
          <w:color w:val="auto"/>
          <w:kern w:val="0"/>
          <w:sz w:val="24"/>
          <w:szCs w:val="24"/>
          <w:lang w:val="en-US" w:eastAsia="zh-CN"/>
        </w:rPr>
        <w:t>分管领导签发、平台</w:t>
      </w:r>
      <w:r>
        <w:rPr>
          <w:rFonts w:hint="eastAsia" w:ascii="宋体" w:hAnsi="宋体" w:cs="宋体"/>
          <w:b w:val="0"/>
          <w:bCs w:val="0"/>
          <w:color w:val="auto"/>
          <w:kern w:val="0"/>
          <w:sz w:val="24"/>
          <w:szCs w:val="24"/>
          <w:lang w:eastAsia="zh-CN"/>
        </w:rPr>
        <w:t>发布流程对办公室信息进行全流程管理。把信息管理流程嵌入公文流转过程中，确保信息公开审查无遗漏。落实区政务公开社会评议制度，邀请文旅体行业专家代表等来局里对政务公开等政府工作情况提出意见建议。2021年，未发生政府信息公开工作责任追究结果情况。</w:t>
      </w:r>
    </w:p>
    <w:p>
      <w:pPr>
        <w:widowControl/>
        <w:shd w:val="clear" w:color="auto" w:fill="FFFFFF"/>
        <w:ind w:firstLine="480"/>
        <w:rPr>
          <w:rFonts w:hint="eastAsia" w:ascii="宋体" w:hAnsi="宋体" w:eastAsia="宋体" w:cs="宋体"/>
          <w:color w:val="333333"/>
          <w:kern w:val="0"/>
          <w:sz w:val="24"/>
        </w:rPr>
      </w:pPr>
    </w:p>
    <w:p>
      <w:pPr>
        <w:widowControl/>
        <w:spacing w:line="432" w:lineRule="auto"/>
        <w:ind w:firstLine="480"/>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二、主动公开政府信息情况</w:t>
      </w:r>
    </w:p>
    <w:p>
      <w:pPr>
        <w:widowControl/>
        <w:spacing w:line="432" w:lineRule="auto"/>
        <w:ind w:firstLine="480"/>
        <w:rPr>
          <w:rFonts w:hint="eastAsia" w:ascii="宋体" w:hAnsi="宋体" w:cs="宋体"/>
          <w:kern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ascii="宋体" w:hAnsi="宋体" w:eastAsia="宋体" w:cs="宋体"/>
                <w:kern w:val="0"/>
                <w:sz w:val="24"/>
                <w:szCs w:val="24"/>
                <w:lang w:val="en-US" w:eastAsia="zh-CN"/>
              </w:rPr>
            </w:pPr>
            <w:r>
              <w:t> </w:t>
            </w:r>
            <w:r>
              <w:rPr>
                <w:rFonts w:hint="eastAsia"/>
                <w:lang w:val="en-US" w:eastAsia="zh-CN"/>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三、收到和处理政府信息公开申请情况</w:t>
      </w:r>
    </w:p>
    <w:p>
      <w:pPr>
        <w:widowControl/>
        <w:spacing w:line="432" w:lineRule="auto"/>
        <w:ind w:firstLine="480"/>
        <w:rPr>
          <w:rFonts w:hint="eastAsia" w:ascii="宋体" w:hAnsi="宋体" w:cs="宋体"/>
          <w:kern w:val="0"/>
          <w:sz w:val="24"/>
          <w:szCs w:val="24"/>
        </w:rPr>
      </w:pP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bl>
    <w:p>
      <w:pPr>
        <w:widowControl/>
        <w:spacing w:line="432" w:lineRule="auto"/>
        <w:jc w:val="center"/>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四、政府信息公开行政复议、行政诉讼情况</w:t>
      </w:r>
    </w:p>
    <w:p>
      <w:pPr>
        <w:widowControl/>
        <w:spacing w:line="432" w:lineRule="auto"/>
        <w:jc w:val="center"/>
        <w:rPr>
          <w:rFonts w:hint="eastAsia" w:ascii="宋体" w:hAnsi="宋体" w:cs="宋体"/>
          <w:kern w:val="0"/>
          <w:sz w:val="24"/>
          <w:szCs w:val="24"/>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hint="eastAsia" w:ascii="宋体" w:hAnsi="宋体" w:cs="宋体"/>
          <w:kern w:val="0"/>
          <w:sz w:val="24"/>
          <w:szCs w:val="24"/>
        </w:rPr>
      </w:pPr>
    </w:p>
    <w:p>
      <w:pPr>
        <w:widowControl/>
        <w:numPr>
          <w:ilvl w:val="0"/>
          <w:numId w:val="2"/>
        </w:numPr>
        <w:spacing w:line="432" w:lineRule="auto"/>
        <w:ind w:firstLine="480"/>
        <w:rPr>
          <w:rFonts w:hint="eastAsia" w:ascii="宋体" w:hAnsi="宋体" w:cs="宋体"/>
          <w:b/>
          <w:bCs/>
          <w:kern w:val="0"/>
          <w:sz w:val="24"/>
          <w:szCs w:val="24"/>
        </w:rPr>
      </w:pPr>
      <w:r>
        <w:rPr>
          <w:rFonts w:hint="eastAsia" w:ascii="宋体" w:hAnsi="宋体" w:cs="宋体"/>
          <w:b/>
          <w:bCs/>
          <w:kern w:val="0"/>
          <w:sz w:val="24"/>
          <w:szCs w:val="24"/>
        </w:rPr>
        <w:t>存在的主要问题及改进情况</w:t>
      </w:r>
    </w:p>
    <w:p>
      <w:pPr>
        <w:widowControl/>
        <w:spacing w:line="480" w:lineRule="exact"/>
        <w:jc w:val="left"/>
        <w:rPr>
          <w:rFonts w:hint="eastAsia" w:ascii="宋体" w:hAnsi="宋体" w:cs="宋体"/>
          <w:kern w:val="0"/>
          <w:sz w:val="20"/>
          <w:szCs w:val="20"/>
        </w:rPr>
      </w:pPr>
      <w:r>
        <w:rPr>
          <w:rFonts w:hint="eastAsia" w:ascii="宋体" w:hAnsi="宋体" w:cs="宋体"/>
          <w:kern w:val="0"/>
          <w:sz w:val="20"/>
          <w:szCs w:val="20"/>
        </w:rPr>
        <w:t>202</w:t>
      </w:r>
      <w:r>
        <w:rPr>
          <w:rFonts w:hint="eastAsia" w:ascii="宋体" w:hAnsi="宋体" w:cs="宋体"/>
          <w:kern w:val="0"/>
          <w:sz w:val="20"/>
          <w:szCs w:val="20"/>
          <w:lang w:val="en-US" w:eastAsia="zh-CN"/>
        </w:rPr>
        <w:t>1</w:t>
      </w:r>
      <w:r>
        <w:rPr>
          <w:rFonts w:hint="eastAsia" w:ascii="宋体" w:hAnsi="宋体" w:cs="宋体"/>
          <w:kern w:val="0"/>
          <w:sz w:val="20"/>
          <w:szCs w:val="20"/>
        </w:rPr>
        <w:t>年我局的信息公开工作虽然取得了一定</w:t>
      </w:r>
      <w:bookmarkStart w:id="0" w:name="_GoBack"/>
      <w:bookmarkEnd w:id="0"/>
      <w:r>
        <w:rPr>
          <w:rFonts w:hint="eastAsia" w:ascii="宋体" w:hAnsi="宋体" w:cs="宋体"/>
          <w:kern w:val="0"/>
          <w:sz w:val="20"/>
          <w:szCs w:val="20"/>
        </w:rPr>
        <w:t>的成效，但是还存在着一些不足。主要表现在：一是</w:t>
      </w:r>
      <w:r>
        <w:rPr>
          <w:rFonts w:hint="eastAsia" w:ascii="宋体" w:hAnsi="宋体" w:cs="宋体"/>
          <w:kern w:val="0"/>
          <w:sz w:val="20"/>
          <w:szCs w:val="20"/>
          <w:lang w:val="en-US" w:eastAsia="zh-CN"/>
        </w:rPr>
        <w:t>信息公开内容形式过于单一、重点领域信息更新频率不高</w:t>
      </w:r>
      <w:r>
        <w:rPr>
          <w:rFonts w:hint="eastAsia" w:ascii="宋体" w:hAnsi="宋体" w:cs="宋体"/>
          <w:kern w:val="0"/>
          <w:sz w:val="20"/>
          <w:szCs w:val="20"/>
        </w:rPr>
        <w:t>。二是对政府信息公开工作人员的业务培训力度需进一步加大。三是信息公开工作人员业务交接有待进一步完善。</w:t>
      </w:r>
    </w:p>
    <w:p>
      <w:pPr>
        <w:widowControl/>
        <w:spacing w:line="480" w:lineRule="exact"/>
        <w:jc w:val="left"/>
        <w:rPr>
          <w:rFonts w:hint="eastAsia" w:ascii="宋体" w:hAnsi="宋体" w:cs="宋体"/>
          <w:kern w:val="0"/>
          <w:sz w:val="20"/>
          <w:szCs w:val="20"/>
        </w:rPr>
      </w:pPr>
      <w:r>
        <w:rPr>
          <w:rFonts w:hint="eastAsia" w:ascii="宋体" w:hAnsi="宋体" w:cs="宋体"/>
          <w:kern w:val="0"/>
          <w:sz w:val="20"/>
          <w:szCs w:val="20"/>
        </w:rPr>
        <w:t>下一步我局将在以下几方面弥补不足，努力做好信息公开工作：一是进一步健全和完善信息公开各项制度。规范和完善政务、信息公开的内容、形式，对涉及群众关心的重大问题、重大决策应该公开的及时公开，提高公开针对性、实效性；二是积极组织相关人员参加各类培训，提高信息公开工作人员能业务素质。</w:t>
      </w:r>
    </w:p>
    <w:p>
      <w:pPr>
        <w:widowControl/>
        <w:numPr>
          <w:ilvl w:val="0"/>
          <w:numId w:val="0"/>
        </w:numPr>
        <w:spacing w:line="432" w:lineRule="auto"/>
        <w:rPr>
          <w:rFonts w:hint="eastAsia" w:ascii="宋体" w:hAnsi="宋体" w:cs="宋体"/>
          <w:b/>
          <w:bCs/>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b/>
          <w:bCs/>
          <w:kern w:val="0"/>
          <w:sz w:val="24"/>
          <w:szCs w:val="24"/>
        </w:rPr>
        <w:t>六、其他需要报告的事项</w:t>
      </w:r>
    </w:p>
    <w:p>
      <w:pPr>
        <w:widowControl/>
        <w:spacing w:line="480" w:lineRule="exact"/>
        <w:jc w:val="left"/>
        <w:rPr>
          <w:rFonts w:hint="eastAsia" w:ascii="宋体" w:hAnsi="宋体" w:cs="宋体"/>
          <w:kern w:val="0"/>
          <w:sz w:val="20"/>
          <w:szCs w:val="20"/>
        </w:rPr>
      </w:pPr>
      <w:r>
        <w:rPr>
          <w:rFonts w:hint="eastAsia" w:ascii="宋体" w:hAnsi="宋体" w:cs="宋体"/>
          <w:kern w:val="0"/>
          <w:sz w:val="20"/>
          <w:szCs w:val="20"/>
        </w:rPr>
        <w:t>2021年，我</w:t>
      </w:r>
      <w:r>
        <w:rPr>
          <w:rFonts w:hint="eastAsia" w:ascii="宋体" w:hAnsi="宋体" w:cs="宋体"/>
          <w:kern w:val="0"/>
          <w:sz w:val="20"/>
          <w:szCs w:val="20"/>
          <w:lang w:val="en-US" w:eastAsia="zh-CN"/>
        </w:rPr>
        <w:t>局</w:t>
      </w:r>
      <w:r>
        <w:rPr>
          <w:rFonts w:hint="eastAsia" w:ascii="宋体" w:hAnsi="宋体" w:cs="宋体"/>
          <w:kern w:val="0"/>
          <w:sz w:val="20"/>
          <w:szCs w:val="20"/>
        </w:rPr>
        <w:t>未收取政府信息公开相关费用。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16AF1"/>
    <w:multiLevelType w:val="singleLevel"/>
    <w:tmpl w:val="A3616AF1"/>
    <w:lvl w:ilvl="0" w:tentative="0">
      <w:start w:val="1"/>
      <w:numFmt w:val="decimal"/>
      <w:suff w:val="nothing"/>
      <w:lvlText w:val="%1、"/>
      <w:lvlJc w:val="left"/>
    </w:lvl>
  </w:abstractNum>
  <w:abstractNum w:abstractNumId="1">
    <w:nsid w:val="53346501"/>
    <w:multiLevelType w:val="singleLevel"/>
    <w:tmpl w:val="53346501"/>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5497A"/>
    <w:rsid w:val="114664D5"/>
    <w:rsid w:val="208A5251"/>
    <w:rsid w:val="25766488"/>
    <w:rsid w:val="3953349F"/>
    <w:rsid w:val="43962529"/>
    <w:rsid w:val="6335497A"/>
    <w:rsid w:val="6FA70370"/>
    <w:rsid w:val="7CC4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2022-01-06T07:11:00Z</dcterms:created>
  <dc:creator>WPS_1597905960</dc:creator>
  <cp:lastModifiedBy>WPS_1597905960</cp:lastModifiedBy>
  <dcterms:modified xsi:type="dcterms:W3CDTF">2022-01-17T02:58:39Z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F92D329B9BC248A9B836C94394336DA5</vt:lpwstr>
  </property>
</Properties>
</file>