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简体"/>
          <w:sz w:val="44"/>
          <w:szCs w:val="44"/>
        </w:rPr>
      </w:pPr>
      <w:bookmarkStart w:id="0" w:name="_GoBack"/>
      <w:bookmarkEnd w:id="0"/>
      <w:r>
        <w:rPr>
          <w:rFonts w:eastAsia="方正小标宋简体"/>
          <w:sz w:val="44"/>
          <w:szCs w:val="44"/>
        </w:rPr>
        <w:t>拱墅区关于推动电竞产业发展</w:t>
      </w:r>
    </w:p>
    <w:p>
      <w:pPr>
        <w:spacing w:line="560" w:lineRule="exact"/>
        <w:jc w:val="center"/>
        <w:rPr>
          <w:rFonts w:eastAsia="方正小标宋简体"/>
          <w:sz w:val="44"/>
          <w:szCs w:val="44"/>
        </w:rPr>
      </w:pPr>
      <w:r>
        <w:rPr>
          <w:rFonts w:eastAsia="方正小标宋简体"/>
          <w:sz w:val="44"/>
          <w:szCs w:val="44"/>
        </w:rPr>
        <w:t>的若干政策意见</w:t>
      </w:r>
    </w:p>
    <w:p>
      <w:pPr>
        <w:adjustRightInd w:val="0"/>
        <w:snapToGrid w:val="0"/>
        <w:spacing w:line="560" w:lineRule="exact"/>
        <w:ind w:firstLine="643" w:firstLineChars="200"/>
        <w:rPr>
          <w:rFonts w:eastAsia="楷体_GB2312"/>
          <w:b/>
          <w:sz w:val="32"/>
          <w:szCs w:val="32"/>
        </w:rPr>
      </w:pPr>
    </w:p>
    <w:p>
      <w:pPr>
        <w:pStyle w:val="7"/>
        <w:spacing w:line="560" w:lineRule="exact"/>
        <w:ind w:firstLine="640"/>
        <w:rPr>
          <w:rFonts w:eastAsia="仿宋_GB2312"/>
          <w:sz w:val="32"/>
          <w:szCs w:val="32"/>
        </w:rPr>
      </w:pPr>
      <w:r>
        <w:rPr>
          <w:rFonts w:eastAsia="仿宋_GB2312"/>
          <w:sz w:val="32"/>
          <w:szCs w:val="32"/>
        </w:rPr>
        <w:t>为加快推动拱墅区电竞数娱产业集聚发展，借势借力2022年杭州亚运会契机，根据省市区“十四五”规划相关要求，全力建设电竞数娱产业链，加快培育和壮大拱墅区电竞数娱产业整体规模，特制定本实施意见。本意见所指电竞数娱产业链主体，包括开发商、运营的开发商和代理商，赛事主办方、俱乐部等，电竞的教育培训机构，影视制作，媒体渠道的 TV 端媒体和互联网媒体等产业链企业。</w:t>
      </w:r>
    </w:p>
    <w:p>
      <w:pPr>
        <w:pStyle w:val="7"/>
        <w:spacing w:line="560" w:lineRule="exact"/>
        <w:ind w:firstLine="640"/>
        <w:rPr>
          <w:rFonts w:eastAsia="黑体"/>
          <w:sz w:val="32"/>
          <w:szCs w:val="32"/>
        </w:rPr>
      </w:pPr>
      <w:r>
        <w:rPr>
          <w:rFonts w:eastAsia="黑体"/>
          <w:sz w:val="32"/>
          <w:szCs w:val="32"/>
        </w:rPr>
        <w:t>一、发展目标</w:t>
      </w:r>
    </w:p>
    <w:p>
      <w:pPr>
        <w:pStyle w:val="7"/>
        <w:spacing w:line="560" w:lineRule="exact"/>
        <w:ind w:firstLine="640"/>
        <w:rPr>
          <w:rFonts w:eastAsia="仿宋_GB2312"/>
          <w:sz w:val="32"/>
          <w:szCs w:val="32"/>
        </w:rPr>
      </w:pPr>
      <w:r>
        <w:rPr>
          <w:rFonts w:eastAsia="仿宋_GB2312"/>
          <w:sz w:val="32"/>
          <w:szCs w:val="32"/>
        </w:rPr>
        <w:t>以电竞产业发展为引领，以电竞数娱全产业链发展为目标，以电竞、+影视、+旅游、+娱乐、+文创、+教育等各产业结合为发展路径，构造电竞数娱综合生态圈。规划打造电子竞技产业发展平台，集聚电竞核心产业链企业及机构，吸引电竞创新人才，引进和培育知名研发机构和电竞俱乐部，组织举办各类电竞赛事，设立和引入各类电竞产业发展基金，打造成国内领先的电竞数娱产业集聚区。</w:t>
      </w:r>
    </w:p>
    <w:p>
      <w:pPr>
        <w:pStyle w:val="7"/>
        <w:spacing w:line="560" w:lineRule="exact"/>
        <w:ind w:firstLine="640"/>
        <w:rPr>
          <w:rFonts w:eastAsia="黑体"/>
          <w:sz w:val="32"/>
          <w:szCs w:val="32"/>
        </w:rPr>
      </w:pPr>
      <w:r>
        <w:rPr>
          <w:rFonts w:eastAsia="黑体"/>
          <w:sz w:val="32"/>
          <w:szCs w:val="32"/>
        </w:rPr>
        <w:t>二、扶持对象</w:t>
      </w:r>
    </w:p>
    <w:p>
      <w:pPr>
        <w:pStyle w:val="7"/>
        <w:spacing w:line="560" w:lineRule="exact"/>
        <w:ind w:firstLine="640"/>
        <w:rPr>
          <w:rFonts w:eastAsia="仿宋_GB2312"/>
          <w:sz w:val="32"/>
          <w:szCs w:val="32"/>
        </w:rPr>
      </w:pPr>
      <w:r>
        <w:rPr>
          <w:rFonts w:eastAsia="仿宋_GB2312"/>
          <w:sz w:val="32"/>
          <w:szCs w:val="32"/>
        </w:rPr>
        <w:t>电竞数娱产业指在拱墅区纳税、财政收入级次在我区独立核算的，且符合区域电竞数娱发展导向的电竞数娱核心产业企业和关联企业。</w:t>
      </w:r>
    </w:p>
    <w:p>
      <w:pPr>
        <w:adjustRightInd w:val="0"/>
        <w:snapToGrid w:val="0"/>
        <w:spacing w:line="560" w:lineRule="exact"/>
        <w:ind w:firstLine="640" w:firstLineChars="200"/>
        <w:rPr>
          <w:rFonts w:eastAsia="黑体"/>
          <w:sz w:val="32"/>
          <w:szCs w:val="32"/>
        </w:rPr>
      </w:pPr>
      <w:r>
        <w:rPr>
          <w:rFonts w:eastAsia="黑体"/>
          <w:sz w:val="32"/>
          <w:szCs w:val="32"/>
        </w:rPr>
        <w:t>三、政策措施</w:t>
      </w:r>
    </w:p>
    <w:p>
      <w:pPr>
        <w:spacing w:line="560" w:lineRule="exact"/>
        <w:ind w:firstLine="643" w:firstLineChars="200"/>
        <w:rPr>
          <w:rFonts w:eastAsia="楷体_GB2312"/>
          <w:b/>
          <w:bCs/>
          <w:sz w:val="32"/>
          <w:szCs w:val="32"/>
        </w:rPr>
      </w:pPr>
      <w:r>
        <w:rPr>
          <w:rFonts w:eastAsia="楷体_GB2312"/>
          <w:b/>
          <w:bCs/>
          <w:sz w:val="32"/>
          <w:szCs w:val="32"/>
        </w:rPr>
        <w:t>（一）产业基金支持</w:t>
      </w:r>
    </w:p>
    <w:p>
      <w:pPr>
        <w:spacing w:line="560" w:lineRule="exact"/>
        <w:ind w:firstLine="643" w:firstLineChars="200"/>
        <w:rPr>
          <w:rFonts w:eastAsia="仿宋_GB2312"/>
          <w:sz w:val="32"/>
          <w:szCs w:val="32"/>
        </w:rPr>
      </w:pPr>
      <w:r>
        <w:rPr>
          <w:rFonts w:eastAsia="仿宋_GB2312"/>
          <w:b/>
          <w:bCs/>
          <w:sz w:val="32"/>
          <w:szCs w:val="32"/>
        </w:rPr>
        <w:t>1.配套产业发展基金。</w:t>
      </w:r>
      <w:r>
        <w:rPr>
          <w:rFonts w:eastAsia="仿宋_GB2312"/>
          <w:sz w:val="32"/>
          <w:szCs w:val="32"/>
        </w:rPr>
        <w:t>积极探索产业基金的引入，区国投牵头成立不少于15亿的配套产业基金，用于赛事品牌打造、电竞数娱产业孵化、电竞初创企业扶助，致力于打造集产业+文化+旅游+教育于一体的电竞全产业链。</w:t>
      </w:r>
    </w:p>
    <w:p>
      <w:pPr>
        <w:spacing w:line="560" w:lineRule="exact"/>
        <w:ind w:firstLine="643" w:firstLineChars="200"/>
        <w:rPr>
          <w:rFonts w:eastAsia="楷体_GB2312"/>
          <w:b/>
          <w:bCs/>
          <w:sz w:val="32"/>
          <w:szCs w:val="32"/>
        </w:rPr>
      </w:pPr>
      <w:r>
        <w:rPr>
          <w:rFonts w:eastAsia="楷体_GB2312"/>
          <w:b/>
          <w:bCs/>
          <w:sz w:val="32"/>
          <w:szCs w:val="32"/>
        </w:rPr>
        <w:t>（二）人才保障支持</w:t>
      </w:r>
    </w:p>
    <w:p>
      <w:pPr>
        <w:spacing w:line="560" w:lineRule="exact"/>
        <w:ind w:firstLine="643" w:firstLineChars="200"/>
        <w:rPr>
          <w:rFonts w:eastAsia="仿宋_GB2312"/>
          <w:sz w:val="32"/>
          <w:szCs w:val="32"/>
        </w:rPr>
      </w:pPr>
      <w:r>
        <w:rPr>
          <w:rFonts w:eastAsia="仿宋_GB2312"/>
          <w:b/>
          <w:bCs/>
          <w:sz w:val="32"/>
          <w:szCs w:val="32"/>
        </w:rPr>
        <w:t>2.人才用房租金补贴。</w:t>
      </w:r>
      <w:r>
        <w:rPr>
          <w:rFonts w:eastAsia="仿宋_GB2312"/>
          <w:sz w:val="32"/>
          <w:szCs w:val="32"/>
        </w:rPr>
        <w:t xml:space="preserve">对经核准的入驻拱墅区的电竞数娱初创型企业的核心人才、精英骨干，经认定，三年内给予不超过2人500元/月/人的人才用房租金补贴。对经核准的入驻拱墅区的电竞数娱规模型企业，经认定，三年内给予人才用房租金补贴：年区地方经济贡献20万元以上的，给予4人800元/月/人的补贴；以此类推，年区地方经济贡献每增加20万元给予增加4人800元/月/人的补贴，最多补贴人数不超过20人。     </w:t>
      </w:r>
    </w:p>
    <w:p>
      <w:pPr>
        <w:spacing w:line="560" w:lineRule="exact"/>
        <w:ind w:firstLine="643" w:firstLineChars="200"/>
        <w:rPr>
          <w:rFonts w:eastAsia="仿宋_GB2312"/>
          <w:sz w:val="32"/>
          <w:szCs w:val="32"/>
        </w:rPr>
      </w:pPr>
      <w:r>
        <w:rPr>
          <w:rFonts w:eastAsia="仿宋_GB2312"/>
          <w:b/>
          <w:bCs/>
          <w:sz w:val="32"/>
          <w:szCs w:val="32"/>
        </w:rPr>
        <w:t>3.人才配套支持保障。</w:t>
      </w:r>
      <w:r>
        <w:rPr>
          <w:rFonts w:eastAsia="仿宋_GB2312"/>
          <w:sz w:val="32"/>
          <w:szCs w:val="32"/>
        </w:rPr>
        <w:t>对电竞企业的专业人才（人数限定），经认定优先入住人才公寓。对电竞企业引进、招聘的高层次人才，在子女入学、入托等方面提供支持保障，享受市、区政府出台的有关人才引进的优惠政策。</w:t>
      </w:r>
    </w:p>
    <w:p>
      <w:pPr>
        <w:spacing w:line="560" w:lineRule="exact"/>
        <w:ind w:firstLine="643" w:firstLineChars="200"/>
        <w:rPr>
          <w:rFonts w:eastAsia="仿宋_GB2312"/>
          <w:b/>
          <w:bCs/>
          <w:sz w:val="32"/>
          <w:szCs w:val="32"/>
        </w:rPr>
      </w:pPr>
      <w:r>
        <w:rPr>
          <w:rFonts w:eastAsia="仿宋_GB2312"/>
          <w:b/>
          <w:bCs/>
          <w:sz w:val="32"/>
          <w:szCs w:val="32"/>
        </w:rPr>
        <w:t>4.支持电竞人才培养。</w:t>
      </w:r>
    </w:p>
    <w:p>
      <w:pPr>
        <w:spacing w:line="560" w:lineRule="exact"/>
        <w:ind w:firstLine="640" w:firstLineChars="200"/>
        <w:rPr>
          <w:rFonts w:eastAsia="仿宋_GB2312"/>
          <w:sz w:val="32"/>
          <w:szCs w:val="32"/>
        </w:rPr>
      </w:pPr>
      <w:r>
        <w:rPr>
          <w:rFonts w:eastAsia="仿宋_GB2312"/>
          <w:sz w:val="32"/>
          <w:szCs w:val="32"/>
        </w:rPr>
        <w:t>（1）对经核准的入驻拱墅区的电竞数娱培训机构，经认定，三年内给予培训机构人才扶持：在培训期限一年期内的培训班毕业学员与拱墅区内电竞数娱企业签订就业合同的，每学员扶持电竞培训机构200元，每年最高扶持不超过10万元；在培训期限一年期（含）以上的培训班毕业学员与拱墅区内电竞数娱企业签订就业合同的，每学员扶持电竞培训机构 300元，每年最高扶持不超过20万元。</w:t>
      </w:r>
    </w:p>
    <w:p>
      <w:pPr>
        <w:spacing w:line="560" w:lineRule="exact"/>
        <w:ind w:firstLine="640" w:firstLineChars="200"/>
        <w:rPr>
          <w:rFonts w:eastAsia="仿宋_GB2312"/>
          <w:sz w:val="32"/>
          <w:szCs w:val="32"/>
        </w:rPr>
      </w:pPr>
      <w:r>
        <w:rPr>
          <w:rFonts w:eastAsia="仿宋_GB2312"/>
          <w:sz w:val="32"/>
          <w:szCs w:val="32"/>
        </w:rPr>
        <w:t>（2）支持电竞人才经纪业务的开拓，经纪公司开展电竞选手、解说员、主播的经纪业务，取得显著效益的，经认定，分三年按形成区地方经济贡献的40%、30%、30%给予扶持，三年累计最高不超过100万元的扶持。</w:t>
      </w:r>
    </w:p>
    <w:p>
      <w:pPr>
        <w:spacing w:line="560" w:lineRule="exact"/>
        <w:ind w:firstLine="643" w:firstLineChars="200"/>
        <w:rPr>
          <w:rFonts w:eastAsia="楷体_GB2312"/>
          <w:b/>
          <w:bCs/>
          <w:sz w:val="32"/>
          <w:szCs w:val="32"/>
        </w:rPr>
      </w:pPr>
      <w:r>
        <w:rPr>
          <w:rFonts w:eastAsia="楷体_GB2312"/>
          <w:b/>
          <w:bCs/>
          <w:sz w:val="32"/>
          <w:szCs w:val="32"/>
        </w:rPr>
        <w:t xml:space="preserve">（三）企业发展支持 </w:t>
      </w:r>
    </w:p>
    <w:p>
      <w:pPr>
        <w:spacing w:line="560" w:lineRule="exact"/>
        <w:ind w:firstLine="643" w:firstLineChars="200"/>
        <w:rPr>
          <w:rFonts w:eastAsia="仿宋_GB2312"/>
          <w:sz w:val="32"/>
          <w:szCs w:val="32"/>
        </w:rPr>
      </w:pPr>
      <w:r>
        <w:rPr>
          <w:rFonts w:eastAsia="仿宋_GB2312"/>
          <w:b/>
          <w:sz w:val="32"/>
          <w:szCs w:val="32"/>
        </w:rPr>
        <w:t>5.支持优秀电竞行业企业落户。</w:t>
      </w:r>
      <w:r>
        <w:rPr>
          <w:rFonts w:eastAsia="仿宋_GB2312"/>
          <w:sz w:val="32"/>
          <w:szCs w:val="32"/>
        </w:rPr>
        <w:t>对新引进的经济贡献总额达到100万元（含）以上的电竞数娱核心产业企业，经认定，自引进年度起，五年内分别按其利润、增加值形成经济贡献总额最高10%、10%、9%、7%、6%给予企业扶持。从第三年起，对当年比上年经济贡献总额增长超过8%（含）以上部分，按照10%的标准予以扶持；对增长不足8%的部分，仍按照当年补助标准予以扶持。</w:t>
      </w:r>
    </w:p>
    <w:p>
      <w:pPr>
        <w:spacing w:line="560" w:lineRule="exact"/>
        <w:ind w:firstLine="643" w:firstLineChars="200"/>
        <w:rPr>
          <w:rFonts w:eastAsia="仿宋_GB2312"/>
          <w:sz w:val="32"/>
          <w:szCs w:val="32"/>
        </w:rPr>
      </w:pPr>
      <w:r>
        <w:rPr>
          <w:rFonts w:eastAsia="仿宋_GB2312"/>
          <w:b/>
          <w:sz w:val="32"/>
          <w:szCs w:val="32"/>
        </w:rPr>
        <w:t>6.支持存量电竞企业持续发展。</w:t>
      </w:r>
      <w:r>
        <w:rPr>
          <w:rFonts w:hint="eastAsia" w:eastAsia="仿宋_GB2312"/>
          <w:sz w:val="32"/>
          <w:szCs w:val="32"/>
          <w:highlight w:val="none"/>
        </w:rPr>
        <w:t>经认定，对首次年度经济贡献总额达到300万元（含）以上，且同比上一年增幅在8%以上的电竞数娱核心产业的企业，给予利润、增加值的经济贡献奖励，以后年度的经济贡献奖励均以企业上一年度的经济贡献总额（经济贡献总额每年均需超过300（含）万元以上）为基数，且需符合环比增幅在8%以上的条件，可分为五种不同类型给予利润、增加值的经济贡献奖励：①企业经济贡献总额增幅在8%-15%（含）以内的按增量部分经济贡献总额的5%给予扶持；②企业经济贡献总额增幅在15%-30%（含）按增量部分经济贡献总额的6%给予扶持；③企业经济贡献总额增幅在30%-40%（含）按增量部分经济贡献总额的7%给予扶持；④企业经济贡献总额增幅在40%-50%（含）按增量部分经济贡献总额的8%给予扶持；⑤企业经济贡献总额增幅在50%以上按增量部分经济贡献总额的15%给予扶持。</w:t>
      </w:r>
    </w:p>
    <w:p>
      <w:pPr>
        <w:widowControl/>
        <w:spacing w:line="560" w:lineRule="exact"/>
        <w:ind w:firstLine="643" w:firstLineChars="200"/>
        <w:jc w:val="left"/>
        <w:rPr>
          <w:rFonts w:eastAsia="仿宋_GB2312"/>
          <w:sz w:val="32"/>
          <w:szCs w:val="32"/>
        </w:rPr>
      </w:pPr>
      <w:r>
        <w:rPr>
          <w:rFonts w:eastAsia="仿宋_GB2312"/>
          <w:b/>
          <w:bCs/>
          <w:sz w:val="32"/>
          <w:szCs w:val="32"/>
        </w:rPr>
        <w:t>7.办公用房租金补贴。</w:t>
      </w:r>
      <w:r>
        <w:rPr>
          <w:rFonts w:eastAsia="仿宋_GB2312"/>
          <w:sz w:val="32"/>
          <w:szCs w:val="32"/>
        </w:rPr>
        <w:t>对经核准的入驻拱墅区的电竞数娱企业，经认定，自引进年度起，三年内给予每天每平方米1元、面积最高不超过1500平方米的房租补贴，补贴面积按照办公区域每人（以当年度企业实际缴纳社保人数为依据）不超过15平方米的标准计算。</w:t>
      </w:r>
    </w:p>
    <w:p>
      <w:pPr>
        <w:widowControl/>
        <w:spacing w:line="560" w:lineRule="exact"/>
        <w:ind w:firstLine="643" w:firstLineChars="200"/>
        <w:jc w:val="left"/>
        <w:rPr>
          <w:rFonts w:eastAsia="仿宋_GB2312"/>
          <w:sz w:val="32"/>
          <w:szCs w:val="32"/>
        </w:rPr>
      </w:pPr>
      <w:r>
        <w:rPr>
          <w:rFonts w:eastAsia="仿宋_GB2312"/>
          <w:b/>
          <w:bCs/>
          <w:sz w:val="32"/>
          <w:szCs w:val="32"/>
        </w:rPr>
        <w:t>8.电竞企业网费扶持。</w:t>
      </w:r>
      <w:r>
        <w:rPr>
          <w:rFonts w:eastAsia="仿宋_GB2312"/>
          <w:sz w:val="32"/>
          <w:szCs w:val="32"/>
        </w:rPr>
        <w:t>对经核准的入驻拱墅区的</w:t>
      </w:r>
      <w:r>
        <w:rPr>
          <w:rFonts w:hint="eastAsia" w:eastAsia="仿宋_GB2312"/>
          <w:sz w:val="32"/>
          <w:szCs w:val="32"/>
          <w:highlight w:val="none"/>
          <w:lang w:val="en-US" w:eastAsia="zh-CN"/>
        </w:rPr>
        <w:t>电竞数娱</w:t>
      </w:r>
      <w:r>
        <w:rPr>
          <w:rFonts w:eastAsia="仿宋_GB2312"/>
          <w:sz w:val="32"/>
          <w:szCs w:val="32"/>
        </w:rPr>
        <w:t>初创型企业三年内给予50%的网络费用扶持, 经认定，每年最高扶持金额不超过2万元；对经核准的入驻拱墅区的电竞数娱规模型企业，经认定，三年内给予网络费用扶持：年区地方经济贡献20万元以上的，给予50%的网络费用扶持，每年最高扶持金额不超过 20 万元。</w:t>
      </w:r>
    </w:p>
    <w:p>
      <w:pPr>
        <w:widowControl/>
        <w:spacing w:line="560" w:lineRule="exact"/>
        <w:ind w:firstLine="643" w:firstLineChars="200"/>
        <w:rPr>
          <w:rFonts w:eastAsia="仿宋_GB2312"/>
          <w:sz w:val="32"/>
          <w:szCs w:val="32"/>
        </w:rPr>
      </w:pPr>
      <w:r>
        <w:rPr>
          <w:rFonts w:eastAsia="仿宋_GB2312"/>
          <w:b/>
          <w:sz w:val="32"/>
          <w:szCs w:val="32"/>
        </w:rPr>
        <w:t>9.电竞企业上市扶持。</w:t>
      </w:r>
      <w:r>
        <w:rPr>
          <w:rFonts w:eastAsia="仿宋_GB2312"/>
          <w:sz w:val="32"/>
          <w:szCs w:val="32"/>
        </w:rPr>
        <w:t>鼓励企业吸引社会资本，做大做强。经认定，在境内外证券交易所上市的电竞企业，按照《拱墅区关于加快商贸金融业发展的若干意见（试行）》执行。</w:t>
      </w:r>
    </w:p>
    <w:p>
      <w:pPr>
        <w:spacing w:line="560" w:lineRule="exact"/>
        <w:ind w:firstLine="643" w:firstLineChars="200"/>
        <w:rPr>
          <w:rFonts w:eastAsia="楷体_GB2312"/>
          <w:b/>
          <w:bCs/>
          <w:sz w:val="32"/>
          <w:szCs w:val="32"/>
        </w:rPr>
      </w:pPr>
      <w:r>
        <w:rPr>
          <w:rFonts w:eastAsia="楷体_GB2312"/>
          <w:b/>
          <w:bCs/>
          <w:sz w:val="32"/>
          <w:szCs w:val="32"/>
        </w:rPr>
        <w:t>（四）赛事承办支持</w:t>
      </w:r>
    </w:p>
    <w:p>
      <w:pPr>
        <w:spacing w:line="560" w:lineRule="exact"/>
        <w:ind w:firstLine="643" w:firstLineChars="200"/>
        <w:rPr>
          <w:rFonts w:eastAsia="仿宋_GB2312"/>
          <w:sz w:val="32"/>
          <w:szCs w:val="32"/>
        </w:rPr>
      </w:pPr>
      <w:r>
        <w:rPr>
          <w:rFonts w:eastAsia="仿宋_GB2312"/>
          <w:b/>
          <w:bCs/>
          <w:sz w:val="32"/>
          <w:szCs w:val="32"/>
        </w:rPr>
        <w:t>10.承办顶级赛事支持。</w:t>
      </w:r>
      <w:r>
        <w:rPr>
          <w:rFonts w:eastAsia="仿宋_GB2312"/>
          <w:sz w:val="32"/>
          <w:szCs w:val="32"/>
        </w:rPr>
        <w:t>在拱墅区范围内承办国际职业大赛（总奖金额超过（含）1000万元），经认定，给予最高不超过500万元的扶持；承办顶级全国职业大赛（总奖金额超过（含）300万元），经认定，给予最高不超过300万元的扶持；承办次级全国职业大赛（总奖金额超过（含）100万元），经认定，给予最高不超过 100 万元的扶持。</w:t>
      </w:r>
    </w:p>
    <w:p>
      <w:pPr>
        <w:spacing w:line="560" w:lineRule="exact"/>
        <w:ind w:firstLine="643" w:firstLineChars="200"/>
        <w:rPr>
          <w:rFonts w:eastAsia="仿宋_GB2312"/>
          <w:sz w:val="32"/>
          <w:szCs w:val="32"/>
        </w:rPr>
      </w:pPr>
      <w:r>
        <w:rPr>
          <w:rFonts w:eastAsia="仿宋_GB2312"/>
          <w:b/>
          <w:bCs/>
          <w:sz w:val="32"/>
          <w:szCs w:val="32"/>
        </w:rPr>
        <w:t>11.承办次级赛事支持。</w:t>
      </w:r>
      <w:r>
        <w:rPr>
          <w:rFonts w:eastAsia="仿宋_GB2312"/>
          <w:sz w:val="32"/>
          <w:szCs w:val="32"/>
        </w:rPr>
        <w:t>对在拱墅区举办电竞领域具有重要影响力的活动、论坛、展会等，经认定，可按运营投入50%以内比例扶持，同一机构同一年度累计扶持最高不超过 100 万元。</w:t>
      </w:r>
    </w:p>
    <w:p>
      <w:pPr>
        <w:spacing w:line="560" w:lineRule="exact"/>
        <w:ind w:firstLine="643" w:firstLineChars="200"/>
        <w:rPr>
          <w:rFonts w:eastAsia="楷体_GB2312"/>
          <w:b/>
          <w:bCs/>
          <w:sz w:val="32"/>
          <w:szCs w:val="32"/>
        </w:rPr>
      </w:pPr>
      <w:r>
        <w:rPr>
          <w:rFonts w:eastAsia="楷体_GB2312"/>
          <w:b/>
          <w:bCs/>
          <w:sz w:val="32"/>
          <w:szCs w:val="32"/>
        </w:rPr>
        <w:t>（五）电竞场馆支持</w:t>
      </w:r>
    </w:p>
    <w:p>
      <w:pPr>
        <w:spacing w:line="560" w:lineRule="exact"/>
        <w:ind w:firstLine="643" w:firstLineChars="200"/>
        <w:rPr>
          <w:rFonts w:eastAsia="仿宋_GB2312"/>
          <w:sz w:val="32"/>
          <w:szCs w:val="32"/>
        </w:rPr>
      </w:pPr>
      <w:r>
        <w:rPr>
          <w:rFonts w:eastAsia="仿宋_GB2312"/>
          <w:b/>
          <w:bCs/>
          <w:sz w:val="32"/>
          <w:szCs w:val="32"/>
        </w:rPr>
        <w:t>12.电竞场馆建设扶持。</w:t>
      </w:r>
      <w:r>
        <w:rPr>
          <w:rFonts w:eastAsia="仿宋_GB2312"/>
          <w:sz w:val="32"/>
          <w:szCs w:val="32"/>
        </w:rPr>
        <w:t>三年内对参与拱墅区配套电竞场馆（观众席位在1000座以内）建设和提升改造的投资主体，经认定，按照专业设备购置等实际投入金额的30%给予一次性扶持，最高扶持金额不超过500万元；三年内对参与拱墅区配套电竞场馆（观众席位在1000座（含）以上）建设和提升改造的投资主体，经认定，按照专业设备购置等实际投入金额的30%给予一次性扶持，最高扶持金额不超过1000万元。</w:t>
      </w:r>
    </w:p>
    <w:p>
      <w:pPr>
        <w:spacing w:line="560" w:lineRule="exact"/>
        <w:ind w:firstLine="643" w:firstLineChars="200"/>
        <w:rPr>
          <w:rFonts w:eastAsia="仿宋_GB2312"/>
          <w:sz w:val="32"/>
          <w:szCs w:val="32"/>
        </w:rPr>
      </w:pPr>
      <w:r>
        <w:rPr>
          <w:rFonts w:eastAsia="仿宋_GB2312"/>
          <w:b/>
          <w:bCs/>
          <w:sz w:val="32"/>
          <w:szCs w:val="32"/>
        </w:rPr>
        <w:t>13.电竞场馆运营扶持。</w:t>
      </w:r>
      <w:r>
        <w:rPr>
          <w:rFonts w:eastAsia="仿宋_GB2312"/>
          <w:sz w:val="32"/>
          <w:szCs w:val="32"/>
        </w:rPr>
        <w:t>对于每年使用100场次（含）以上的拱墅区内电竞场馆，承办赛事场次（赛事总奖金额超过 100 万元（含））达到25场（含）以上，经认定，按市场标准租金给予最高不超过50%的扶持，最高扶持金额不超过100万元；对于每年使用达100 场次（含）以上的拱墅区内电竞场馆，承办赛事场次（赛事总奖金额超过 100 万元（含））达到50场（含）以上，经认定，按市场标准租金给予最高不超过50%的扶持，最高扶持金额不超过 200万元。</w:t>
      </w:r>
    </w:p>
    <w:p>
      <w:pPr>
        <w:spacing w:line="560" w:lineRule="exact"/>
        <w:ind w:firstLine="643" w:firstLineChars="200"/>
        <w:rPr>
          <w:rFonts w:eastAsia="楷体_GB2312"/>
          <w:b/>
          <w:bCs/>
          <w:sz w:val="32"/>
          <w:szCs w:val="32"/>
        </w:rPr>
      </w:pPr>
      <w:r>
        <w:rPr>
          <w:rFonts w:eastAsia="楷体_GB2312"/>
          <w:b/>
          <w:bCs/>
          <w:sz w:val="32"/>
          <w:szCs w:val="32"/>
        </w:rPr>
        <w:t>（六）俱乐部支持</w:t>
      </w:r>
    </w:p>
    <w:p>
      <w:pPr>
        <w:spacing w:line="560" w:lineRule="exact"/>
        <w:ind w:firstLine="643" w:firstLineChars="200"/>
        <w:rPr>
          <w:rFonts w:eastAsia="仿宋_GB2312"/>
          <w:b/>
          <w:bCs/>
          <w:sz w:val="32"/>
          <w:szCs w:val="32"/>
        </w:rPr>
      </w:pPr>
      <w:r>
        <w:rPr>
          <w:rFonts w:eastAsia="仿宋_GB2312"/>
          <w:b/>
          <w:bCs/>
          <w:sz w:val="32"/>
          <w:szCs w:val="32"/>
        </w:rPr>
        <w:t>14.俱乐部参赛奖励。</w:t>
      </w:r>
      <w:r>
        <w:rPr>
          <w:rFonts w:eastAsia="仿宋_GB2312"/>
          <w:sz w:val="32"/>
          <w:szCs w:val="32"/>
        </w:rPr>
        <w:t>参加国际职业大赛（总奖金额超过（含）1000万元），经认定，每获得一个世界赛事冠军一次性奖励80万元，亚军一次性奖励50万元，季军一次性奖励30万元；参加全国职业联赛（总奖金额超过（含）300万元）, 经认定，每获得一个大赛冠军一次性奖励30万元，亚军一次性奖励 20万元，季军一次性奖励10万元。</w:t>
      </w:r>
    </w:p>
    <w:p>
      <w:pPr>
        <w:spacing w:line="560" w:lineRule="exact"/>
        <w:ind w:firstLine="643" w:firstLineChars="200"/>
        <w:rPr>
          <w:rFonts w:eastAsia="楷体_GB2312"/>
          <w:b/>
          <w:bCs/>
          <w:sz w:val="32"/>
          <w:szCs w:val="32"/>
        </w:rPr>
      </w:pPr>
      <w:r>
        <w:rPr>
          <w:rFonts w:eastAsia="楷体_GB2312"/>
          <w:b/>
          <w:bCs/>
          <w:sz w:val="32"/>
          <w:szCs w:val="32"/>
        </w:rPr>
        <w:t>（七）平台建设支持</w:t>
      </w:r>
    </w:p>
    <w:p>
      <w:pPr>
        <w:spacing w:line="560" w:lineRule="exact"/>
        <w:ind w:firstLine="643" w:firstLineChars="200"/>
        <w:rPr>
          <w:rFonts w:eastAsia="仿宋_GB2312"/>
          <w:sz w:val="32"/>
          <w:szCs w:val="32"/>
        </w:rPr>
      </w:pPr>
      <w:r>
        <w:rPr>
          <w:rFonts w:eastAsia="仿宋_GB2312"/>
          <w:b/>
          <w:bCs/>
          <w:sz w:val="32"/>
          <w:szCs w:val="32"/>
        </w:rPr>
        <w:t>15.支持平台建设发展。</w:t>
      </w:r>
      <w:r>
        <w:rPr>
          <w:rFonts w:eastAsia="仿宋_GB2312"/>
          <w:sz w:val="32"/>
          <w:szCs w:val="32"/>
        </w:rPr>
        <w:t>对服务电竞产业的直播平台、运营平台、赛事综合服务平台等，经认定，年度经济贡献达到100万元（含）以上，分三年按形成区地方经济贡献的40%、30%、30%给予扶持，三年累计最高不超过 500 万元。</w:t>
      </w:r>
    </w:p>
    <w:p>
      <w:pPr>
        <w:spacing w:line="560" w:lineRule="exact"/>
        <w:ind w:firstLine="643" w:firstLineChars="200"/>
        <w:rPr>
          <w:rFonts w:eastAsia="楷体_GB2312"/>
          <w:b/>
          <w:bCs/>
          <w:sz w:val="32"/>
          <w:szCs w:val="32"/>
        </w:rPr>
      </w:pPr>
      <w:r>
        <w:rPr>
          <w:rFonts w:eastAsia="楷体_GB2312"/>
          <w:b/>
          <w:bCs/>
          <w:sz w:val="32"/>
          <w:szCs w:val="32"/>
        </w:rPr>
        <w:t>（八）IP 衍生领域融合支持</w:t>
      </w:r>
    </w:p>
    <w:p>
      <w:pPr>
        <w:widowControl/>
        <w:spacing w:line="560" w:lineRule="exact"/>
        <w:ind w:firstLine="643" w:firstLineChars="200"/>
        <w:jc w:val="left"/>
        <w:rPr>
          <w:rFonts w:eastAsia="仿宋_GB2312"/>
          <w:sz w:val="32"/>
          <w:szCs w:val="32"/>
        </w:rPr>
      </w:pPr>
      <w:r>
        <w:rPr>
          <w:rFonts w:eastAsia="仿宋_GB2312"/>
          <w:b/>
          <w:bCs/>
          <w:sz w:val="32"/>
          <w:szCs w:val="32"/>
        </w:rPr>
        <w:t>16.支持IP衍生发展。</w:t>
      </w:r>
      <w:r>
        <w:rPr>
          <w:rFonts w:eastAsia="仿宋_GB2312"/>
          <w:sz w:val="32"/>
          <w:szCs w:val="32"/>
        </w:rPr>
        <w:t>对电竞与影视、音乐、演艺、衍生品开发等产业领域融合发展， 取得一定效益的IP衍生品开发销售企业，经认定，可给予最高不超过 50万元扶持。</w:t>
      </w:r>
    </w:p>
    <w:p>
      <w:pPr>
        <w:spacing w:line="560" w:lineRule="exact"/>
        <w:ind w:firstLine="643" w:firstLineChars="200"/>
        <w:rPr>
          <w:rFonts w:eastAsia="楷体_GB2312"/>
          <w:b/>
          <w:bCs/>
          <w:sz w:val="32"/>
          <w:szCs w:val="32"/>
        </w:rPr>
      </w:pPr>
      <w:r>
        <w:rPr>
          <w:rFonts w:eastAsia="楷体_GB2312"/>
          <w:b/>
          <w:bCs/>
          <w:sz w:val="32"/>
          <w:szCs w:val="32"/>
        </w:rPr>
        <w:t>（九）其他政策扶持</w:t>
      </w:r>
    </w:p>
    <w:p>
      <w:pPr>
        <w:widowControl/>
        <w:spacing w:line="560" w:lineRule="exact"/>
        <w:ind w:firstLine="643" w:firstLineChars="200"/>
        <w:jc w:val="left"/>
        <w:rPr>
          <w:rFonts w:eastAsia="仿宋_GB2312"/>
          <w:sz w:val="32"/>
          <w:szCs w:val="32"/>
        </w:rPr>
      </w:pPr>
      <w:r>
        <w:rPr>
          <w:rFonts w:eastAsia="仿宋_GB2312"/>
          <w:b/>
          <w:bCs/>
          <w:sz w:val="32"/>
          <w:szCs w:val="32"/>
        </w:rPr>
        <w:t>17.龙头重点企业政策扶持。</w:t>
      </w:r>
      <w:r>
        <w:rPr>
          <w:rFonts w:eastAsia="仿宋_GB2312"/>
          <w:sz w:val="32"/>
          <w:szCs w:val="32"/>
        </w:rPr>
        <w:t>为着力引进行业龙头、标杆项目、特色品牌，涉及特别重大项目确需突破上述政策范围的，申请“一企一策”，并经区政府相关会议研究决定。</w:t>
      </w:r>
    </w:p>
    <w:p>
      <w:pPr>
        <w:widowControl/>
        <w:spacing w:line="560" w:lineRule="exact"/>
        <w:ind w:firstLine="643" w:firstLineChars="200"/>
        <w:jc w:val="left"/>
        <w:rPr>
          <w:rFonts w:eastAsia="仿宋_GB2312"/>
          <w:sz w:val="32"/>
          <w:szCs w:val="32"/>
        </w:rPr>
      </w:pPr>
      <w:r>
        <w:rPr>
          <w:rFonts w:eastAsia="仿宋_GB2312"/>
          <w:b/>
          <w:bCs/>
          <w:sz w:val="32"/>
          <w:szCs w:val="32"/>
        </w:rPr>
        <w:t>18.产业链企业政策扶持。</w:t>
      </w:r>
      <w:r>
        <w:rPr>
          <w:rFonts w:eastAsia="仿宋_GB2312"/>
          <w:sz w:val="32"/>
          <w:szCs w:val="32"/>
        </w:rPr>
        <w:t>充分合理规划布局电竞产业发展的专项用地，进一步丰富拱墅区电竞数娱业态，对于引进的电竞产业链企业，符合区财政政策且在上述条款未提及的，按从高从优不重复原则给予扶持。</w:t>
      </w:r>
    </w:p>
    <w:p>
      <w:pPr>
        <w:widowControl/>
        <w:spacing w:line="560" w:lineRule="exact"/>
        <w:ind w:firstLine="640" w:firstLineChars="200"/>
        <w:jc w:val="left"/>
        <w:rPr>
          <w:rFonts w:eastAsia="仿宋"/>
          <w:sz w:val="32"/>
          <w:szCs w:val="32"/>
        </w:rPr>
      </w:pPr>
      <w:r>
        <w:rPr>
          <w:rFonts w:eastAsia="黑体"/>
          <w:sz w:val="32"/>
          <w:szCs w:val="32"/>
        </w:rPr>
        <w:t>四、附则</w:t>
      </w:r>
    </w:p>
    <w:p>
      <w:pPr>
        <w:snapToGrid w:val="0"/>
        <w:spacing w:line="540" w:lineRule="exact"/>
        <w:ind w:firstLine="640" w:firstLineChars="200"/>
        <w:rPr>
          <w:rFonts w:eastAsia="仿宋_GB2312"/>
          <w:sz w:val="32"/>
          <w:szCs w:val="32"/>
        </w:rPr>
      </w:pPr>
      <w:r>
        <w:rPr>
          <w:rFonts w:eastAsia="仿宋_GB2312"/>
          <w:sz w:val="32"/>
          <w:szCs w:val="32"/>
        </w:rPr>
        <w:t>（一）企业当年获得区财政各类扶持资金，除一次性奖励外，原则上以企业上年度区地方经济贡献为限。区地方经济贡献的结算比例以现行财政结算比例为准。</w:t>
      </w:r>
    </w:p>
    <w:p>
      <w:pPr>
        <w:tabs>
          <w:tab w:val="left" w:pos="1080"/>
        </w:tabs>
        <w:spacing w:line="540" w:lineRule="exact"/>
        <w:ind w:firstLine="640" w:firstLineChars="200"/>
        <w:rPr>
          <w:rFonts w:eastAsia="仿宋_GB2312"/>
          <w:sz w:val="32"/>
          <w:szCs w:val="32"/>
        </w:rPr>
      </w:pPr>
      <w:r>
        <w:rPr>
          <w:rFonts w:eastAsia="仿宋_GB2312"/>
          <w:sz w:val="32"/>
          <w:szCs w:val="32"/>
        </w:rPr>
        <w:t>（二）同一扶持对象若适合多项区级扶持政策的，以“从高从优不重复”的原则进行扶持；若适用同一类别扶持条款分低等、高等不同等级的，如由低等次向高等次升级的，补差额部分；企业申请项目获得区级以上财政或有关部门政策扶持且要求区财政安排配套资金的，则区扶持政策已兑现的扶持资金视作配套，不足部分予以补足。</w:t>
      </w:r>
    </w:p>
    <w:p>
      <w:pPr>
        <w:snapToGrid w:val="0"/>
        <w:spacing w:line="540" w:lineRule="exact"/>
        <w:ind w:firstLine="640" w:firstLineChars="200"/>
        <w:rPr>
          <w:rFonts w:eastAsia="仿宋_GB2312"/>
          <w:sz w:val="32"/>
          <w:szCs w:val="32"/>
        </w:rPr>
      </w:pPr>
      <w:r>
        <w:rPr>
          <w:rFonts w:eastAsia="仿宋_GB2312"/>
          <w:sz w:val="32"/>
          <w:szCs w:val="32"/>
        </w:rPr>
        <w:t>（三）本意见中根据项目投资额给予一定比例扶持的政策条款，原则上金额在50万元以上的均需出具会计师事务所的项目专项审计报告。企业所在街道办事处或所辖部门应做到严格把关、规范管理。</w:t>
      </w:r>
    </w:p>
    <w:p>
      <w:pPr>
        <w:snapToGrid w:val="0"/>
        <w:spacing w:line="540" w:lineRule="exact"/>
        <w:ind w:firstLine="640" w:firstLineChars="200"/>
        <w:rPr>
          <w:rFonts w:eastAsia="仿宋_GB2312"/>
          <w:sz w:val="32"/>
          <w:szCs w:val="32"/>
        </w:rPr>
      </w:pPr>
      <w:r>
        <w:rPr>
          <w:rFonts w:eastAsia="仿宋_GB2312"/>
          <w:sz w:val="32"/>
          <w:szCs w:val="32"/>
        </w:rPr>
        <w:t>（四）认定企业应守法经营、诚实守信、有规范健全的财务制度，近三年内在经济贡献、安全生产、环保、劳动等方面无重大违法违规行为。</w:t>
      </w:r>
    </w:p>
    <w:p>
      <w:pPr>
        <w:snapToGrid w:val="0"/>
        <w:spacing w:line="540" w:lineRule="exact"/>
        <w:ind w:firstLine="640" w:firstLineChars="200"/>
        <w:rPr>
          <w:rFonts w:eastAsia="仿宋_GB2312"/>
          <w:sz w:val="32"/>
          <w:szCs w:val="32"/>
        </w:rPr>
      </w:pPr>
      <w:r>
        <w:rPr>
          <w:rFonts w:eastAsia="仿宋_GB2312"/>
          <w:sz w:val="32"/>
          <w:szCs w:val="32"/>
        </w:rPr>
        <w:t>（五）享受扶持政策的企业，应为财政收入级次在拱墅区的独立核算企业，自最近一次政策兑现之日起10年内，财政收入级次迁出拱墅的，应退还所有扶持资金。</w:t>
      </w:r>
    </w:p>
    <w:p>
      <w:pPr>
        <w:adjustRightInd w:val="0"/>
        <w:snapToGrid w:val="0"/>
        <w:spacing w:line="540" w:lineRule="exact"/>
        <w:ind w:firstLine="640" w:firstLineChars="200"/>
        <w:rPr>
          <w:rFonts w:eastAsia="仿宋_GB2312"/>
          <w:sz w:val="32"/>
          <w:szCs w:val="32"/>
        </w:rPr>
      </w:pPr>
      <w:r>
        <w:rPr>
          <w:rFonts w:eastAsia="仿宋_GB2312"/>
          <w:sz w:val="32"/>
          <w:szCs w:val="32"/>
        </w:rPr>
        <w:t xml:space="preserve">（六）对我区电竞业发展具有重大推动、引领作用的重大项目、重点企业等，可实行“一企一策”。 </w:t>
      </w:r>
    </w:p>
    <w:p>
      <w:pPr>
        <w:snapToGrid w:val="0"/>
        <w:spacing w:line="540" w:lineRule="exact"/>
        <w:ind w:firstLine="640" w:firstLineChars="200"/>
        <w:rPr>
          <w:rFonts w:eastAsia="仿宋_GB2312"/>
          <w:sz w:val="32"/>
          <w:szCs w:val="32"/>
        </w:rPr>
      </w:pPr>
      <w:r>
        <w:rPr>
          <w:rFonts w:eastAsia="仿宋_GB2312"/>
          <w:sz w:val="32"/>
          <w:szCs w:val="32"/>
        </w:rPr>
        <w:t>（七）本意见中电竞产业政策意见由区文创办、区数产园管委会负责解释。本意见如与国家、省、市最新法律、法规及政策不一致时，以国家、省、市最新法律、法规及政策为准。</w:t>
      </w:r>
    </w:p>
    <w:p>
      <w:pPr>
        <w:spacing w:line="540" w:lineRule="exact"/>
        <w:ind w:firstLine="640" w:firstLineChars="200"/>
        <w:rPr>
          <w:rFonts w:eastAsia="仿宋_GB2312"/>
          <w:sz w:val="32"/>
          <w:szCs w:val="32"/>
        </w:rPr>
      </w:pPr>
      <w:r>
        <w:rPr>
          <w:rFonts w:eastAsia="仿宋_GB2312"/>
          <w:sz w:val="32"/>
          <w:szCs w:val="32"/>
        </w:rPr>
        <w:t>（八）本意见自2022年 月 日起实施。</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A2"/>
    <w:rsid w:val="000D6C8E"/>
    <w:rsid w:val="000F256A"/>
    <w:rsid w:val="00290B3D"/>
    <w:rsid w:val="002C17C8"/>
    <w:rsid w:val="00571ECC"/>
    <w:rsid w:val="006278FD"/>
    <w:rsid w:val="00651D75"/>
    <w:rsid w:val="00705300"/>
    <w:rsid w:val="009032CD"/>
    <w:rsid w:val="009128F8"/>
    <w:rsid w:val="00980746"/>
    <w:rsid w:val="00B23AC1"/>
    <w:rsid w:val="00B25B70"/>
    <w:rsid w:val="00B60AAA"/>
    <w:rsid w:val="00C260E1"/>
    <w:rsid w:val="00D92075"/>
    <w:rsid w:val="00E26642"/>
    <w:rsid w:val="00ED50A2"/>
    <w:rsid w:val="00F036C9"/>
    <w:rsid w:val="00F16CF6"/>
    <w:rsid w:val="00F36E47"/>
    <w:rsid w:val="0249702A"/>
    <w:rsid w:val="08810BA0"/>
    <w:rsid w:val="097F1D39"/>
    <w:rsid w:val="1C5D0BEE"/>
    <w:rsid w:val="20394F37"/>
    <w:rsid w:val="21F030D1"/>
    <w:rsid w:val="220E7723"/>
    <w:rsid w:val="2CD422AD"/>
    <w:rsid w:val="2DB33930"/>
    <w:rsid w:val="31EA3699"/>
    <w:rsid w:val="33EF3C9C"/>
    <w:rsid w:val="3489363D"/>
    <w:rsid w:val="3BCE04CC"/>
    <w:rsid w:val="43672754"/>
    <w:rsid w:val="43B119B5"/>
    <w:rsid w:val="43EF0FE2"/>
    <w:rsid w:val="45E306D3"/>
    <w:rsid w:val="498117E0"/>
    <w:rsid w:val="4E4168DE"/>
    <w:rsid w:val="572A43B4"/>
    <w:rsid w:val="57392849"/>
    <w:rsid w:val="582B34FB"/>
    <w:rsid w:val="593626CC"/>
    <w:rsid w:val="5AB02E22"/>
    <w:rsid w:val="5E9B3D3A"/>
    <w:rsid w:val="617C5545"/>
    <w:rsid w:val="63636D89"/>
    <w:rsid w:val="6AAE1B11"/>
    <w:rsid w:val="73E01DE1"/>
    <w:rsid w:val="79DF3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0"/>
    <w:pPr>
      <w:ind w:firstLine="420" w:firstLineChars="200"/>
    </w:pPr>
  </w:style>
  <w:style w:type="character" w:customStyle="1" w:styleId="8">
    <w:name w:val="页眉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3672</Words>
  <Characters>3867</Characters>
  <Lines>27</Lines>
  <Paragraphs>7</Paragraphs>
  <TotalTime>46</TotalTime>
  <ScaleCrop>false</ScaleCrop>
  <LinksUpToDate>false</LinksUpToDate>
  <CharactersWithSpaces>3899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2022-03-30T06:18:00Z</dcterms:created>
  <dc:creator>admin</dc:creator>
  <cp:lastModifiedBy>WPS_1169067740</cp:lastModifiedBy>
  <dcterms:modified xsi:type="dcterms:W3CDTF">2022-11-15T08:48:02Z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6A4D2145A0E742E096FD7D8734EFA798</vt:lpwstr>
  </property>
</Properties>
</file>