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区退役军人局2022年度政府信息公开</w:t>
      </w:r>
    </w:p>
    <w:p>
      <w:pPr>
        <w:widowControl/>
        <w:spacing w:line="64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工作年度报告</w:t>
      </w:r>
    </w:p>
    <w:p>
      <w:pPr>
        <w:widowControl/>
        <w:spacing w:line="43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32" w:lineRule="auto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在区委区政府的领导下，区退役军人局认真贯彻落实《中华人民共和国政府信息公开条例》和省、市、区政务公开工作要点，按照区政府信息公开工作部署要求，紧紧围绕今年退役军人事务工作重点，准确公开各类政府信息，及时回应社会关切，增强工作公开透明度，推动政务公开工作取得实效。</w:t>
      </w:r>
    </w:p>
    <w:p>
      <w:pPr>
        <w:widowControl/>
        <w:spacing w:line="432" w:lineRule="auto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ind w:firstLine="643" w:firstLineChars="200"/>
        <w:jc w:val="left"/>
        <w:rPr>
          <w:rFonts w:ascii="楷体" w:hAnsi="楷体" w:eastAsia="楷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（一）主动公开情况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2022年，我局根据《政府信息公开条例》要求，紧紧围绕退役军人工作中心任务，坚持以公开为常态、不公开为例外的原则，及时、主动、准确公开政府信息。我局以区政府门户网站为平台，全年发布主动公开信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息共20条，其中机构设置3条，政策文件4条，重大行政决策制度1条，规划计划4条，资金信息2条，人事信息1条，就业创业1条，行政执法公开4条。</w:t>
      </w:r>
    </w:p>
    <w:p>
      <w:pPr>
        <w:ind w:firstLine="643" w:firstLineChars="200"/>
        <w:jc w:val="left"/>
        <w:rPr>
          <w:rFonts w:ascii="楷体" w:hAnsi="楷体" w:eastAsia="楷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（二）</w:t>
      </w:r>
      <w:r>
        <w:rPr>
          <w:rFonts w:ascii="楷体" w:hAnsi="楷体" w:eastAsia="楷体" w:cs="宋体"/>
          <w:b/>
          <w:color w:val="333333"/>
          <w:kern w:val="0"/>
          <w:sz w:val="32"/>
          <w:szCs w:val="32"/>
        </w:rPr>
        <w:t>依申请公开情况</w:t>
      </w: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本年度无公民、法人或其他组织向我局提出政府信息公开申请，未对政府信息公开进行收费和减免，未发生针对我局有关政府信息公开事务的行政复议案、行政诉讼案。</w:t>
      </w:r>
    </w:p>
    <w:p>
      <w:pPr>
        <w:ind w:firstLine="643" w:firstLineChars="200"/>
        <w:jc w:val="left"/>
        <w:rPr>
          <w:rFonts w:ascii="楷体" w:hAnsi="楷体" w:eastAsia="楷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（三）</w:t>
      </w:r>
      <w:r>
        <w:rPr>
          <w:rFonts w:ascii="楷体" w:hAnsi="楷体" w:eastAsia="楷体" w:cs="宋体"/>
          <w:b/>
          <w:color w:val="333333"/>
          <w:kern w:val="0"/>
          <w:sz w:val="32"/>
          <w:szCs w:val="32"/>
        </w:rPr>
        <w:t>信息管理情况</w:t>
      </w: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为进一步加强组织领导，健全工作推进机制。我局明确由办公室为全局信息公开工作的负责科室，相关科室协助办公室完成此项工作，做到专人专管，应发尽发。定期召开会议，由主要领导听取信息公开工作汇报，结合落实区年度政务公开重点任务要点，根据各科室职责进行维护任务细化分工，确定每个具体事项的公开标准，研究加强信息公开工作的可行措施，部署落实数字化、退役军人就业创业等各项重要领域信息公开工作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优化政务服务流程，简化操作程序，有效提高政府公信力。</w:t>
      </w:r>
    </w:p>
    <w:p>
      <w:pPr>
        <w:ind w:firstLine="643" w:firstLineChars="200"/>
        <w:jc w:val="left"/>
        <w:rPr>
          <w:rFonts w:ascii="楷体" w:hAnsi="楷体" w:eastAsia="楷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（四）</w:t>
      </w:r>
      <w:r>
        <w:rPr>
          <w:rFonts w:ascii="楷体" w:hAnsi="楷体" w:eastAsia="楷体" w:cs="宋体"/>
          <w:b/>
          <w:color w:val="333333"/>
          <w:kern w:val="0"/>
          <w:sz w:val="32"/>
          <w:szCs w:val="32"/>
        </w:rPr>
        <w:t>平台建设</w:t>
      </w: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情况</w:t>
      </w: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区政府门户网站</w:t>
      </w:r>
      <w:r>
        <w:rPr>
          <w:rFonts w:ascii="仿宋_GB2312" w:hAnsi="仿宋_GB2312" w:eastAsia="仿宋_GB2312" w:cs="仿宋_GB2312"/>
          <w:sz w:val="32"/>
          <w:szCs w:val="32"/>
        </w:rPr>
        <w:t>定期推送日常工作动态、重点工作推进、政策文件解读图文，有效促进政民互动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，向全区广大退役军人提供“互联网+退役军人”服务，提升公众查询政府信息的便捷度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另外还在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</w:t>
      </w:r>
      <w:r>
        <w:rPr>
          <w:rFonts w:ascii="仿宋_GB2312" w:hAnsi="仿宋_GB2312" w:eastAsia="仿宋_GB2312" w:cs="仿宋_GB2312"/>
          <w:sz w:val="32"/>
          <w:szCs w:val="32"/>
        </w:rPr>
        <w:t>“拱墅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ascii="仿宋_GB2312" w:hAnsi="仿宋_GB2312" w:eastAsia="仿宋_GB2312" w:cs="仿宋_GB2312"/>
          <w:sz w:val="32"/>
          <w:szCs w:val="32"/>
        </w:rPr>
        <w:t>退役军人”发布各类信息共</w:t>
      </w:r>
      <w:r>
        <w:rPr>
          <w:rFonts w:hint="eastAsia" w:ascii="仿宋_GB2312" w:hAnsi="仿宋_GB2312" w:eastAsia="仿宋_GB2312" w:cs="仿宋_GB2312"/>
          <w:sz w:val="32"/>
          <w:szCs w:val="32"/>
        </w:rPr>
        <w:t>161</w:t>
      </w:r>
      <w:r>
        <w:rPr>
          <w:rFonts w:ascii="仿宋_GB2312" w:hAnsi="仿宋_GB2312" w:eastAsia="仿宋_GB2312" w:cs="仿宋_GB2312"/>
          <w:sz w:val="32"/>
          <w:szCs w:val="32"/>
        </w:rPr>
        <w:t>篇。规范“三公”经费公示制度，在区政府网站公开202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年部门决算及202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年部门预算，做到重点领域信息公开、透明。</w:t>
      </w:r>
    </w:p>
    <w:p>
      <w:pPr>
        <w:ind w:firstLine="643" w:firstLineChars="200"/>
        <w:jc w:val="left"/>
        <w:rPr>
          <w:rFonts w:ascii="楷体" w:hAnsi="楷体" w:eastAsia="楷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333333"/>
          <w:kern w:val="0"/>
          <w:sz w:val="32"/>
          <w:szCs w:val="32"/>
        </w:rPr>
        <w:t>（五）监督保障情况</w:t>
      </w: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重视政务公开工作，将政务公开纳入年度重要议事日程，明确负责政务公开工作的分管领导和责任科室，合理构建政务公开责任组织架构。召开政府信息公开工作会议，对做好日常政务公开工作提出明确要求。分管领导每月或不定期过问督查政务公开工作的开展情况，研究推动工作落实。</w:t>
      </w:r>
      <w:r>
        <w:rPr>
          <w:rFonts w:ascii="仿宋_GB2312" w:hAnsi="仿宋_GB2312" w:eastAsia="仿宋_GB2312" w:cs="仿宋_GB2312"/>
          <w:sz w:val="32"/>
          <w:szCs w:val="32"/>
        </w:rPr>
        <w:t>我局设有政务公开投诉电话，今年未收到投诉来电，也未发生政府信息公开工作责任追究结果情况。</w:t>
      </w:r>
    </w:p>
    <w:p>
      <w:pPr>
        <w:widowControl/>
        <w:spacing w:line="432" w:lineRule="auto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tbl>
      <w:tblPr>
        <w:tblStyle w:val="4"/>
        <w:tblW w:w="89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2435"/>
        <w:gridCol w:w="2435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432" w:lineRule="auto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</w:p>
    <w:tbl>
      <w:tblPr>
        <w:tblStyle w:val="4"/>
        <w:tblW w:w="87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0"/>
        <w:gridCol w:w="831"/>
        <w:gridCol w:w="2938"/>
        <w:gridCol w:w="621"/>
        <w:gridCol w:w="621"/>
        <w:gridCol w:w="621"/>
        <w:gridCol w:w="621"/>
        <w:gridCol w:w="621"/>
        <w:gridCol w:w="621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44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44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1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44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44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ind w:firstLine="200" w:firstLineChars="100"/>
              <w:jc w:val="left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6"/>
        <w:gridCol w:w="596"/>
        <w:gridCol w:w="596"/>
        <w:gridCol w:w="595"/>
        <w:gridCol w:w="595"/>
        <w:gridCol w:w="596"/>
        <w:gridCol w:w="596"/>
        <w:gridCol w:w="597"/>
        <w:gridCol w:w="596"/>
        <w:gridCol w:w="596"/>
        <w:gridCol w:w="596"/>
        <w:gridCol w:w="596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2022年，我局在政务公开方面工作取得了一定的成绩，但仍存在一些不足，</w:t>
      </w:r>
      <w:r>
        <w:rPr>
          <w:rFonts w:ascii="仿宋_GB2312" w:hAnsi="仿宋_GB2312" w:eastAsia="仿宋_GB2312" w:cs="仿宋_GB2312"/>
          <w:sz w:val="32"/>
          <w:szCs w:val="32"/>
        </w:rPr>
        <w:t>一是在思想上还需进一步加强对政府信息公开工作的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</w:t>
      </w:r>
      <w:r>
        <w:rPr>
          <w:rFonts w:ascii="仿宋_GB2312" w:hAnsi="仿宋_GB2312" w:eastAsia="仿宋_GB2312" w:cs="仿宋_GB2312"/>
          <w:sz w:val="32"/>
          <w:szCs w:val="32"/>
        </w:rPr>
        <w:t>程度；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</w:t>
      </w:r>
      <w:r>
        <w:rPr>
          <w:rFonts w:ascii="仿宋_GB2312" w:hAnsi="仿宋_GB2312" w:eastAsia="仿宋_GB2312" w:cs="仿宋_GB2312"/>
          <w:sz w:val="32"/>
          <w:szCs w:val="32"/>
        </w:rPr>
        <w:t>信息公开质量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规范性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还有待进一步提高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；三是</w:t>
      </w:r>
      <w:r>
        <w:rPr>
          <w:rFonts w:ascii="仿宋_GB2312" w:hAnsi="仿宋_GB2312" w:eastAsia="仿宋_GB2312" w:cs="仿宋_GB2312"/>
          <w:sz w:val="32"/>
          <w:szCs w:val="32"/>
        </w:rPr>
        <w:t>信息公开的形式有待进一步完善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。接下来，我局将</w:t>
      </w:r>
      <w:r>
        <w:rPr>
          <w:rFonts w:ascii="仿宋_GB2312" w:hAnsi="仿宋_GB2312" w:eastAsia="仿宋_GB2312" w:cs="仿宋_GB2312"/>
          <w:sz w:val="32"/>
          <w:szCs w:val="32"/>
        </w:rPr>
        <w:t>继续深入推进政府信息公开工作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，加强文件政策解读工作力度，</w:t>
      </w:r>
      <w:r>
        <w:rPr>
          <w:rFonts w:ascii="仿宋_GB2312" w:hAnsi="仿宋_GB2312" w:eastAsia="仿宋_GB2312" w:cs="仿宋_GB2312"/>
          <w:sz w:val="32"/>
          <w:szCs w:val="32"/>
        </w:rPr>
        <w:t>不断完善信息公开工作制度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规范信息公开内容，提高信息公开质量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，丰富完善信息公开形式，用</w:t>
      </w:r>
      <w:r>
        <w:rPr>
          <w:rFonts w:ascii="仿宋_GB2312" w:hAnsi="仿宋_GB2312" w:eastAsia="仿宋_GB2312" w:cs="仿宋_GB2312"/>
          <w:sz w:val="32"/>
          <w:szCs w:val="32"/>
        </w:rPr>
        <w:t>更多元化、便捷化的方式让公众更加明显地感受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ascii="仿宋_GB2312" w:hAnsi="仿宋_GB2312" w:eastAsia="仿宋_GB2312" w:cs="仿宋_GB2312"/>
          <w:sz w:val="32"/>
          <w:szCs w:val="32"/>
        </w:rPr>
        <w:t>政府信息公开的成果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本年度无收取信息处理费情况。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jAyZmIwMjY5ZjJmNjExOTA1MDJjZjkxYjYwZmIifQ=="/>
  </w:docVars>
  <w:rsids>
    <w:rsidRoot w:val="008026F2"/>
    <w:rsid w:val="00314844"/>
    <w:rsid w:val="00642B06"/>
    <w:rsid w:val="0064383B"/>
    <w:rsid w:val="008026F2"/>
    <w:rsid w:val="00A01C9A"/>
    <w:rsid w:val="00B54C7C"/>
    <w:rsid w:val="00E31DCF"/>
    <w:rsid w:val="127B7140"/>
    <w:rsid w:val="48F831CF"/>
    <w:rsid w:val="498A052D"/>
    <w:rsid w:val="4D816573"/>
    <w:rsid w:val="58DB29DA"/>
    <w:rsid w:val="5AE03BF9"/>
    <w:rsid w:val="67385D6E"/>
    <w:rsid w:val="6A6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2141</Words>
  <Characters>2181</Characters>
  <Lines>19</Lines>
  <Paragraphs>5</Paragraphs>
  <TotalTime>10</TotalTime>
  <ScaleCrop>false</ScaleCrop>
  <LinksUpToDate>false</LinksUpToDate>
  <CharactersWithSpaces>2299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2023-01-11T05:35:00Z</dcterms:created>
  <dc:creator>w</dc:creator>
  <cp:lastModifiedBy>w</cp:lastModifiedBy>
  <dcterms:modified xsi:type="dcterms:W3CDTF">2023-01-12T02:26:45Z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BD032EFEAC6C4CFAAF8119B43CADD4BA</vt:lpwstr>
  </property>
</Properties>
</file>