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2D66A5"/>
          <w:spacing w:val="0"/>
          <w:sz w:val="32"/>
          <w:szCs w:val="32"/>
          <w:shd w:val="clear" w:fill="FFFFFF"/>
        </w:rPr>
      </w:pPr>
      <w:r>
        <w:rPr>
          <w:rFonts w:ascii="微软雅黑" w:hAnsi="微软雅黑" w:eastAsia="微软雅黑" w:cs="微软雅黑"/>
          <w:b/>
          <w:bCs/>
          <w:i w:val="0"/>
          <w:iCs w:val="0"/>
          <w:caps w:val="0"/>
          <w:color w:val="2D66A5"/>
          <w:spacing w:val="0"/>
          <w:sz w:val="32"/>
          <w:szCs w:val="32"/>
          <w:shd w:val="clear" w:fill="FFFFFF"/>
        </w:rPr>
        <w:t>拱墅区文广旅体局2021年政府信息公开工作年度报告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ascii="微软雅黑" w:hAnsi="微软雅黑" w:eastAsia="微软雅黑" w:cs="微软雅黑"/>
        </w:rPr>
      </w:pPr>
      <w:r>
        <w:rPr>
          <w:rFonts w:hint="eastAsia" w:ascii="微软雅黑" w:hAnsi="微软雅黑" w:eastAsia="微软雅黑" w:cs="微软雅黑"/>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1、主动公开情况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按规定公开机构设置、监督检查、行政执法等信息，重点关注公共文体重点领域信息公开，积极做好行政文化许可与处罚、公共文化服务活动、公共文化场所信息一以及公共文化资金投入使用情况公示。截止到2021年12月31日，区文广旅体局累计主动公开部门动态信息56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2、依申请公开情况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2021年度我局未收到信息公开申请，未被申请行政复议，未被提起行政诉讼</w:t>
      </w:r>
      <w:bookmarkStart w:id="0" w:name="_GoBack"/>
      <w:bookmarkEnd w:id="0"/>
      <w:r>
        <w:rPr>
          <w:rFonts w:hint="eastAsia" w:ascii="微软雅黑" w:hAnsi="微软雅黑" w:eastAsia="微软雅黑" w:cs="微软雅黑"/>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3、信息管理情况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制定政府信息公开相关制度。修订了《杭州市拱墅区文化和广电旅游体育局政府信息公开指南》，核实修改了《指南》中信息公开的单位主体、网站地址、公开电话、依申请公开办理流程图等信息，做到公开信息的准确、公开渠道的畅通、公开流程的清晰；梳理并公布了《杭州市拱墅区文化和广电旅游体育局政府信息公开目录》，加强政府采购、行政执法领域政府信息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4、平台建设情况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我局坚持“以公开为常态、不公开为例外”的原则，高度重视政府信息公开的落实情况，及时更新各栏目信息，做到部门动态每周更新三次，政策文件合理公开，通知公告及时公开，确保信息公开及时性。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5、监督保障情况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明确政府信息公开申请承办单位。2021年初，召开局政府信息公开专题工作会议，明确了政府信息公开相关制度、机制、办理流程等，坚持“以公开为常态、不公开为例外”的原则，着力推进决策、执行、管理、服务、结果的“五公开”，进一步提升我局政务信息公开质量和实效。健全审查、培训、台账管理等政府信息管理制度。认真贯彻落实办公室发布信息内部审查制度，按照科室起草、办公室审核、分管领导签发、平台发布流程对办公室信息进行全流程管理。把信息管理流程嵌入公文流转过程中，确保信息公开审查无遗漏。落实区政务公开社会评议制度，邀请文旅体行业专家代表等来局里对政务公开等政府工作情况提出意见建议。2021年，未发生政府信息公开工作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二、主动公开政府信息情况</w:t>
      </w:r>
    </w:p>
    <w:tbl>
      <w:tblPr>
        <w:tblW w:w="6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20"/>
        <w:gridCol w:w="1620"/>
        <w:gridCol w:w="1620"/>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6490" w:type="dxa"/>
            <w:gridSpan w:val="4"/>
            <w:tcBorders>
              <w:top w:val="single" w:color="auto" w:sz="4" w:space="0"/>
              <w:left w:val="single" w:color="auto" w:sz="4" w:space="0"/>
              <w:bottom w:val="single" w:color="auto" w:sz="4" w:space="0"/>
              <w:right w:val="single" w:color="auto" w:sz="4" w:space="0"/>
            </w:tcBorders>
            <w:shd w:val="clear" w:color="auto" w:fill="C6D9F1"/>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信息内容</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本年制发件数</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本年废止件数</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规章</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行政规范性文件</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162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6490" w:type="dxa"/>
            <w:gridSpan w:val="4"/>
            <w:tcBorders>
              <w:top w:val="nil"/>
              <w:left w:val="single" w:color="auto" w:sz="4" w:space="0"/>
              <w:bottom w:val="single" w:color="auto" w:sz="4" w:space="0"/>
              <w:right w:val="single" w:color="auto" w:sz="4" w:space="0"/>
            </w:tcBorders>
            <w:shd w:val="clear" w:color="auto" w:fill="C6D9F1"/>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信息内容</w:t>
            </w:r>
          </w:p>
        </w:tc>
        <w:tc>
          <w:tcPr>
            <w:tcW w:w="4870" w:type="dxa"/>
            <w:gridSpan w:val="3"/>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行政许可</w:t>
            </w:r>
          </w:p>
        </w:tc>
        <w:tc>
          <w:tcPr>
            <w:tcW w:w="4870" w:type="dxa"/>
            <w:gridSpan w:val="3"/>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6490" w:type="dxa"/>
            <w:gridSpan w:val="4"/>
            <w:tcBorders>
              <w:top w:val="nil"/>
              <w:left w:val="single" w:color="auto" w:sz="4" w:space="0"/>
              <w:bottom w:val="single" w:color="auto" w:sz="4" w:space="0"/>
              <w:right w:val="single" w:color="auto" w:sz="4" w:space="0"/>
            </w:tcBorders>
            <w:shd w:val="clear" w:color="auto" w:fill="C6D9F1"/>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信息内容</w:t>
            </w:r>
          </w:p>
        </w:tc>
        <w:tc>
          <w:tcPr>
            <w:tcW w:w="4870" w:type="dxa"/>
            <w:gridSpan w:val="3"/>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行政处罚</w:t>
            </w:r>
          </w:p>
        </w:tc>
        <w:tc>
          <w:tcPr>
            <w:tcW w:w="4870" w:type="dxa"/>
            <w:gridSpan w:val="3"/>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行政强制</w:t>
            </w:r>
          </w:p>
        </w:tc>
        <w:tc>
          <w:tcPr>
            <w:tcW w:w="4870" w:type="dxa"/>
            <w:gridSpan w:val="3"/>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6490" w:type="dxa"/>
            <w:gridSpan w:val="4"/>
            <w:tcBorders>
              <w:top w:val="nil"/>
              <w:left w:val="single" w:color="auto" w:sz="4" w:space="0"/>
              <w:bottom w:val="single" w:color="auto" w:sz="4" w:space="0"/>
              <w:right w:val="single" w:color="auto" w:sz="4" w:space="0"/>
            </w:tcBorders>
            <w:shd w:val="clear" w:color="auto" w:fill="C6D9F1"/>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信息内容</w:t>
            </w:r>
          </w:p>
        </w:tc>
        <w:tc>
          <w:tcPr>
            <w:tcW w:w="4870" w:type="dxa"/>
            <w:gridSpan w:val="3"/>
            <w:tcBorders>
              <w:top w:val="nil"/>
              <w:left w:val="nil"/>
              <w:bottom w:val="single" w:color="auto" w:sz="4" w:space="0"/>
              <w:right w:val="single" w:color="000000"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620" w:type="dxa"/>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行政事业性收费</w:t>
            </w:r>
          </w:p>
        </w:tc>
        <w:tc>
          <w:tcPr>
            <w:tcW w:w="4870" w:type="dxa"/>
            <w:gridSpan w:val="3"/>
            <w:tcBorders>
              <w:top w:val="nil"/>
              <w:left w:val="nil"/>
              <w:bottom w:val="single" w:color="auto" w:sz="4" w:space="0"/>
              <w:right w:val="single" w:color="000000"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三、收到和处理政府信息公开申请情况</w:t>
      </w:r>
    </w:p>
    <w:tbl>
      <w:tblPr>
        <w:tblW w:w="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0"/>
        <w:gridCol w:w="800"/>
        <w:gridCol w:w="2018"/>
        <w:gridCol w:w="446"/>
        <w:gridCol w:w="446"/>
        <w:gridCol w:w="446"/>
        <w:gridCol w:w="446"/>
        <w:gridCol w:w="446"/>
        <w:gridCol w:w="446"/>
        <w:gridCol w:w="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290" w:type="dxa"/>
            <w:gridSpan w:val="3"/>
            <w:vMerge w:val="restart"/>
            <w:tcBorders>
              <w:top w:val="single" w:color="auto" w:sz="4" w:space="0"/>
              <w:left w:val="single" w:color="auto" w:sz="4" w:space="0"/>
              <w:bottom w:val="outset"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（本列数据的勾稽关系为：第一项加第二项之和，等于第三项加第四项之和）</w:t>
            </w:r>
          </w:p>
        </w:tc>
        <w:tc>
          <w:tcPr>
            <w:tcW w:w="3210" w:type="dxa"/>
            <w:gridSpan w:val="7"/>
            <w:tcBorders>
              <w:top w:val="single" w:color="auto" w:sz="4" w:space="0"/>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90" w:type="dxa"/>
            <w:gridSpan w:val="3"/>
            <w:vMerge w:val="continue"/>
            <w:tcBorders>
              <w:top w:val="single" w:color="auto" w:sz="4" w:space="0"/>
              <w:left w:val="single" w:color="auto" w:sz="4" w:space="0"/>
              <w:bottom w:val="outset"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60" w:type="dxa"/>
            <w:vMerge w:val="restart"/>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自然人</w:t>
            </w:r>
          </w:p>
        </w:tc>
        <w:tc>
          <w:tcPr>
            <w:tcW w:w="2290" w:type="dxa"/>
            <w:gridSpan w:val="5"/>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法人或其他组织</w:t>
            </w:r>
          </w:p>
        </w:tc>
        <w:tc>
          <w:tcPr>
            <w:tcW w:w="460" w:type="dxa"/>
            <w:vMerge w:val="restart"/>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290" w:type="dxa"/>
            <w:gridSpan w:val="3"/>
            <w:vMerge w:val="continue"/>
            <w:tcBorders>
              <w:top w:val="single" w:color="auto" w:sz="4" w:space="0"/>
              <w:left w:val="single" w:color="auto" w:sz="4" w:space="0"/>
              <w:bottom w:val="outset"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60" w:type="dxa"/>
            <w:vMerge w:val="continue"/>
            <w:tcBorders>
              <w:top w:val="nil"/>
              <w:left w:val="nil"/>
              <w:bottom w:val="single"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企业</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机构</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社会公益组织</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法律服务机构</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其他</w:t>
            </w:r>
          </w:p>
        </w:tc>
        <w:tc>
          <w:tcPr>
            <w:tcW w:w="46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90" w:type="dxa"/>
            <w:gridSpan w:val="3"/>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一、本年新收政府信息公开申请数量</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290" w:type="dxa"/>
            <w:gridSpan w:val="3"/>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二、上年结转政府信息公开申请数量</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restart"/>
            <w:tcBorders>
              <w:top w:val="nil"/>
              <w:left w:val="single" w:color="auto" w:sz="4" w:space="0"/>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三、本年度办理结果</w:t>
            </w:r>
          </w:p>
        </w:tc>
        <w:tc>
          <w:tcPr>
            <w:tcW w:w="2790" w:type="dxa"/>
            <w:gridSpan w:val="2"/>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（一）予以公开</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790" w:type="dxa"/>
            <w:gridSpan w:val="2"/>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（二）部分公开（区分处理的，只计这一情形，不计其他情形）</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restart"/>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（三）不予公开</w:t>
            </w: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1.属于国家秘密</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2.其他法律行政法规禁止公开</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3.危及“三安全一稳定”</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4.保护第三方合法权益</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5.属于三类内部事务信息</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6.属于四类过程性信息</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7.属于行政执法案卷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8.属于行政查询事项</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restart"/>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（四）无法提供</w:t>
            </w: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1.本机关不掌握相关政府信息</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2.没有现成信息需要另行制作</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3.补正后申请内容仍不明确</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restart"/>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（五）不予处理</w:t>
            </w: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1.信访举报投诉类申请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2.重复申请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3.要求提供公开出版物</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4.无正当理由大量反复申请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5.要求行政机关确认或重新出具已获取信息</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restart"/>
            <w:tcBorders>
              <w:top w:val="nil"/>
              <w:left w:val="nil"/>
              <w:bottom w:val="outset"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（六）其他处理</w:t>
            </w: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1.申请人无正当理由逾期不补正、行政机关不再处理其政府信息公开申请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2.申请人逾期未按收费通知要求缴纳费用、行政机关不再处理其政府信息公开申请</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610" w:type="dxa"/>
            <w:vMerge w:val="continue"/>
            <w:tcBorders>
              <w:top w:val="nil"/>
              <w:left w:val="nil"/>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17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3.其他</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500" w:type="dxa"/>
            <w:vMerge w:val="continue"/>
            <w:tcBorders>
              <w:top w:val="nil"/>
              <w:left w:val="single" w:color="auto" w:sz="4" w:space="0"/>
              <w:bottom w:val="outset" w:color="auto" w:sz="4" w:space="0"/>
              <w:right w:val="single" w:color="auto" w:sz="4" w:space="0"/>
            </w:tcBorders>
            <w:shd w:val="clear"/>
            <w:tcMar>
              <w:left w:w="40" w:type="dxa"/>
              <w:right w:w="40" w:type="dxa"/>
            </w:tcMar>
            <w:vAlign w:val="center"/>
          </w:tcPr>
          <w:p>
            <w:pPr>
              <w:jc w:val="left"/>
              <w:rPr>
                <w:rFonts w:hint="eastAsia" w:ascii="微软雅黑" w:hAnsi="微软雅黑" w:eastAsia="微软雅黑" w:cs="微软雅黑"/>
                <w:b w:val="0"/>
                <w:bCs w:val="0"/>
                <w:sz w:val="24"/>
                <w:szCs w:val="24"/>
              </w:rPr>
            </w:pPr>
          </w:p>
        </w:tc>
        <w:tc>
          <w:tcPr>
            <w:tcW w:w="2790" w:type="dxa"/>
            <w:gridSpan w:val="2"/>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（七）总计</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290" w:type="dxa"/>
            <w:gridSpan w:val="3"/>
            <w:tcBorders>
              <w:top w:val="nil"/>
              <w:left w:val="single" w:color="auto" w:sz="4" w:space="0"/>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四、结转下年度继续办理</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0 </w:t>
            </w:r>
          </w:p>
        </w:tc>
        <w:tc>
          <w:tcPr>
            <w:tcW w:w="460" w:type="dxa"/>
            <w:tcBorders>
              <w:top w:val="nil"/>
              <w:left w:val="nil"/>
              <w:bottom w:val="single" w:color="auto" w:sz="4" w:space="0"/>
              <w:right w:val="single" w:color="auto" w:sz="4" w:space="0"/>
            </w:tcBorders>
            <w:shd w:val="clear"/>
            <w:tcMar>
              <w:left w:w="4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四、政府信息公开行政复议、行政诉讼情况</w:t>
      </w:r>
    </w:p>
    <w:tbl>
      <w:tblPr>
        <w:tblW w:w="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6"/>
        <w:gridCol w:w="659"/>
        <w:gridCol w:w="660"/>
        <w:gridCol w:w="660"/>
        <w:gridCol w:w="297"/>
        <w:gridCol w:w="660"/>
        <w:gridCol w:w="660"/>
        <w:gridCol w:w="660"/>
        <w:gridCol w:w="660"/>
        <w:gridCol w:w="297"/>
        <w:gridCol w:w="660"/>
        <w:gridCol w:w="660"/>
        <w:gridCol w:w="660"/>
        <w:gridCol w:w="660"/>
        <w:gridCol w:w="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170" w:type="dxa"/>
            <w:gridSpan w:val="5"/>
            <w:tcBorders>
              <w:top w:val="single" w:color="auto" w:sz="4" w:space="0"/>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行政复议</w:t>
            </w:r>
          </w:p>
        </w:tc>
        <w:tc>
          <w:tcPr>
            <w:tcW w:w="4330" w:type="dxa"/>
            <w:gridSpan w:val="10"/>
            <w:tcBorders>
              <w:top w:val="single" w:color="auto" w:sz="4" w:space="0"/>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30" w:type="dxa"/>
            <w:vMerge w:val="restart"/>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结果维持</w:t>
            </w:r>
          </w:p>
        </w:tc>
        <w:tc>
          <w:tcPr>
            <w:tcW w:w="430" w:type="dxa"/>
            <w:vMerge w:val="restart"/>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   纠正</w:t>
            </w:r>
          </w:p>
        </w:tc>
        <w:tc>
          <w:tcPr>
            <w:tcW w:w="430" w:type="dxa"/>
            <w:vMerge w:val="restart"/>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其他   结果</w:t>
            </w:r>
          </w:p>
        </w:tc>
        <w:tc>
          <w:tcPr>
            <w:tcW w:w="430" w:type="dxa"/>
            <w:vMerge w:val="restart"/>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尚未   审结</w:t>
            </w:r>
          </w:p>
        </w:tc>
        <w:tc>
          <w:tcPr>
            <w:tcW w:w="430" w:type="dxa"/>
            <w:vMerge w:val="restart"/>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总计</w:t>
            </w:r>
          </w:p>
        </w:tc>
        <w:tc>
          <w:tcPr>
            <w:tcW w:w="2170" w:type="dxa"/>
            <w:gridSpan w:val="5"/>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未经复议直接起诉</w:t>
            </w:r>
          </w:p>
        </w:tc>
        <w:tc>
          <w:tcPr>
            <w:tcW w:w="2170" w:type="dxa"/>
            <w:gridSpan w:val="5"/>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30" w:type="dxa"/>
            <w:vMerge w:val="continue"/>
            <w:tcBorders>
              <w:top w:val="nil"/>
              <w:left w:val="single" w:color="auto" w:sz="4" w:space="0"/>
              <w:bottom w:val="single"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30" w:type="dxa"/>
            <w:vMerge w:val="continue"/>
            <w:tcBorders>
              <w:top w:val="nil"/>
              <w:left w:val="nil"/>
              <w:bottom w:val="single"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30" w:type="dxa"/>
            <w:vMerge w:val="continue"/>
            <w:tcBorders>
              <w:top w:val="nil"/>
              <w:left w:val="nil"/>
              <w:bottom w:val="single"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30" w:type="dxa"/>
            <w:vMerge w:val="continue"/>
            <w:tcBorders>
              <w:top w:val="nil"/>
              <w:left w:val="nil"/>
              <w:bottom w:val="single"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30" w:type="dxa"/>
            <w:vMerge w:val="continue"/>
            <w:tcBorders>
              <w:top w:val="nil"/>
              <w:left w:val="nil"/>
              <w:bottom w:val="single" w:color="auto" w:sz="4" w:space="0"/>
              <w:right w:val="single" w:color="auto" w:sz="4" w:space="0"/>
            </w:tcBorders>
            <w:shd w:val="clear"/>
            <w:tcMar>
              <w:left w:w="70" w:type="dxa"/>
              <w:right w:w="70" w:type="dxa"/>
            </w:tcMar>
            <w:vAlign w:val="center"/>
          </w:tcPr>
          <w:p>
            <w:pPr>
              <w:jc w:val="left"/>
              <w:rPr>
                <w:rFonts w:hint="eastAsia" w:ascii="微软雅黑" w:hAnsi="微软雅黑" w:eastAsia="微软雅黑" w:cs="微软雅黑"/>
                <w:b w:val="0"/>
                <w:bCs w:val="0"/>
                <w:sz w:val="24"/>
                <w:szCs w:val="24"/>
              </w:rPr>
            </w:pP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   维持</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   纠正</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其他   结果</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尚未   审结</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总计</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   维持</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结果   纠正</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其他   结果</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尚未   审结</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43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c>
          <w:tcPr>
            <w:tcW w:w="43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val="0"/>
                <w:bCs w:val="0"/>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2021年我局的信息公开工作虽然取得了一定的成效，但是还存在着一些不足。主要表现在：一是信息公开内容形式过于单一、重点领域信息更新频率不高。二是对政府信息公开工作人员的业务培训力度需进一步加大。三是信息公开工作人员业务交接有待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下一步我局将在以下几方面弥补不足，努力做好信息公开工作：一是进一步健全和完善信息公开各项制度。规范和完善政务、信息公开的内容、形式，对涉及群众关心的重大问题、重大决策应该公开的及时公开，提高公开针对性、实效性；二是积极组织相关人员参加各类培训，提高信息公开工作人员能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微软雅黑" w:hAnsi="微软雅黑" w:eastAsia="微软雅黑" w:cs="微软雅黑"/>
          <w:bdr w:val="none" w:color="auto" w:sz="0" w:space="0"/>
        </w:rPr>
        <w:t>2021年，我局未收取政府信息公开相关费用。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ascii="微软雅黑" w:hAnsi="微软雅黑" w:eastAsia="微软雅黑" w:cs="微软雅黑"/>
          <w:color w:val="auto"/>
          <w:u w:val="none"/>
          <w:bdr w:val="none" w:color="auto" w:sz="0" w:space="0"/>
        </w:rPr>
        <w:drawing>
          <wp:inline distT="0" distB="0" distL="114300" distR="114300">
            <wp:extent cx="6286500" cy="44443650"/>
            <wp:effectExtent l="0" t="0" r="0" b="635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286500" cy="44443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16"/>
          <w:szCs w:val="16"/>
          <w:u w:val="none"/>
          <w:bdr w:val="none" w:color="auto" w:sz="0" w:space="0"/>
        </w:rPr>
        <w:fldChar w:fldCharType="begin"/>
      </w:r>
      <w:r>
        <w:rPr>
          <w:rFonts w:hint="eastAsia" w:ascii="微软雅黑" w:hAnsi="微软雅黑" w:eastAsia="微软雅黑" w:cs="微软雅黑"/>
          <w:sz w:val="16"/>
          <w:szCs w:val="16"/>
          <w:u w:val="none"/>
          <w:bdr w:val="none" w:color="auto" w:sz="0" w:space="0"/>
        </w:rPr>
        <w:instrText xml:space="preserve"> HYPERLINK "https://www.gongshu.gov.cn/module/download/downfile.jsp?classid=0&amp;filename=5989eb68028f49f09f71908333efb3a5.docx" </w:instrText>
      </w:r>
      <w:r>
        <w:rPr>
          <w:rFonts w:hint="eastAsia" w:ascii="微软雅黑" w:hAnsi="微软雅黑" w:eastAsia="微软雅黑" w:cs="微软雅黑"/>
          <w:sz w:val="16"/>
          <w:szCs w:val="16"/>
          <w:u w:val="none"/>
          <w:bdr w:val="none" w:color="auto" w:sz="0" w:space="0"/>
        </w:rPr>
        <w:fldChar w:fldCharType="separate"/>
      </w:r>
      <w:r>
        <w:rPr>
          <w:rStyle w:val="5"/>
          <w:rFonts w:hint="eastAsia" w:ascii="微软雅黑" w:hAnsi="微软雅黑" w:eastAsia="微软雅黑" w:cs="微软雅黑"/>
          <w:sz w:val="16"/>
          <w:szCs w:val="16"/>
          <w:u w:val="none"/>
          <w:bdr w:val="none" w:color="auto" w:sz="0" w:space="0"/>
        </w:rPr>
        <w:t>政府信息公开工作年度报告.docx</w:t>
      </w:r>
      <w:r>
        <w:rPr>
          <w:rFonts w:hint="eastAsia" w:ascii="微软雅黑" w:hAnsi="微软雅黑" w:eastAsia="微软雅黑" w:cs="微软雅黑"/>
          <w:sz w:val="16"/>
          <w:szCs w:val="16"/>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u w:val="none"/>
          <w:bdr w:val="none" w:color="auto" w:sz="0" w:space="0"/>
        </w:rPr>
        <w:fldChar w:fldCharType="begin"/>
      </w:r>
      <w:r>
        <w:rPr>
          <w:rFonts w:hint="eastAsia" w:ascii="微软雅黑" w:hAnsi="微软雅黑" w:eastAsia="微软雅黑" w:cs="微软雅黑"/>
          <w:u w:val="none"/>
          <w:bdr w:val="none" w:color="auto" w:sz="0" w:space="0"/>
        </w:rPr>
        <w:instrText xml:space="preserve"> HYPERLINK "http://www.gongshu.gov.cn/art/2022/1/30/art_1229707689_1812679.html" \t "https://www.gongshu.gov.cn/art/2022/1/25/_self" </w:instrText>
      </w:r>
      <w:r>
        <w:rPr>
          <w:rFonts w:hint="eastAsia" w:ascii="微软雅黑" w:hAnsi="微软雅黑" w:eastAsia="微软雅黑" w:cs="微软雅黑"/>
          <w:u w:val="none"/>
          <w:bdr w:val="none" w:color="auto" w:sz="0" w:space="0"/>
        </w:rPr>
        <w:fldChar w:fldCharType="separate"/>
      </w:r>
      <w:r>
        <w:rPr>
          <w:rStyle w:val="5"/>
          <w:rFonts w:hint="eastAsia" w:ascii="微软雅黑" w:hAnsi="微软雅黑" w:eastAsia="微软雅黑" w:cs="微软雅黑"/>
          <w:u w:val="none"/>
          <w:bdr w:val="none" w:color="auto" w:sz="0" w:space="0"/>
        </w:rPr>
        <w:t>解读链接：http://www.gongshu.gov.cn/art/2022/1/30/art_1229707689_1812679.html</w:t>
      </w:r>
      <w:r>
        <w:rPr>
          <w:rFonts w:hint="eastAsia" w:ascii="微软雅黑" w:hAnsi="微软雅黑" w:eastAsia="微软雅黑" w:cs="微软雅黑"/>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rPr>
          <w:rFonts w:ascii="微软雅黑" w:hAnsi="微软雅黑" w:eastAsia="微软雅黑" w:cs="微软雅黑"/>
          <w:b/>
          <w:bCs/>
          <w:i w:val="0"/>
          <w:iCs w:val="0"/>
          <w:caps w:val="0"/>
          <w:color w:val="2D66A5"/>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MDQ4YjcwNTRmYzc4Yzg4MWUwZmZhOGE5YWU1YTkifQ=="/>
  </w:docVars>
  <w:rsids>
    <w:rsidRoot w:val="00000000"/>
    <w:rsid w:val="1B99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zjjcmspublic.oss-cn-hangzhou-zwynet-d01-a.internet.cloud.zj.gov.cn/jcms_files/jcms1/web2096/site/picture/0/2201251553309506075.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2024-01-04T12:01:07Z</dcterms:created>
  <dc:creator>paperman</dc:creator>
  <cp:lastModifiedBy>paperman</cp:lastModifiedBy>
  <dcterms:modified xsi:type="dcterms:W3CDTF">2024-01-04T12:01:47Z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F1935CB2E4C345F18A22F3DA25B3952D_12</vt:lpwstr>
  </property>
</Properties>
</file>