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jc w:val="center"/>
        <w:rPr>
          <w:rFonts w:ascii="黑体" w:hAnsi="黑体" w:eastAsia="黑体" w:cs="宋体"/>
          <w:bCs/>
          <w:color w:val="333333"/>
          <w:kern w:val="0"/>
          <w:sz w:val="44"/>
          <w:szCs w:val="44"/>
        </w:rPr>
      </w:pPr>
      <w:r>
        <w:rPr>
          <w:rFonts w:hint="eastAsia" w:ascii="黑体" w:hAnsi="黑体" w:eastAsia="黑体" w:cs="宋体"/>
          <w:bCs/>
          <w:color w:val="333333"/>
          <w:kern w:val="0"/>
          <w:sz w:val="44"/>
          <w:szCs w:val="44"/>
        </w:rPr>
        <w:t>区运河指挥部2021年政府信息公开工作年度报告</w:t>
      </w:r>
    </w:p>
    <w:p>
      <w:pPr>
        <w:widowControl/>
        <w:shd w:val="clear" w:color="auto" w:fill="FFFFFF"/>
        <w:jc w:val="center"/>
        <w:rPr>
          <w:rFonts w:ascii="宋体" w:hAnsi="宋体" w:cs="宋体"/>
          <w:color w:val="333333"/>
          <w:kern w:val="0"/>
          <w:sz w:val="24"/>
          <w:szCs w:val="24"/>
        </w:rPr>
      </w:pPr>
    </w:p>
    <w:p>
      <w:pPr>
        <w:pStyle w:val="5"/>
        <w:spacing w:before="0" w:beforeAutospacing="0" w:after="0" w:afterAutospacing="0" w:line="440" w:lineRule="exact"/>
        <w:ind w:firstLine="641" w:firstLineChars="200"/>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一、总体情况</w:t>
      </w:r>
    </w:p>
    <w:p>
      <w:pPr>
        <w:pStyle w:val="5"/>
        <w:spacing w:before="0" w:beforeAutospacing="0" w:after="0" w:afterAutospacing="0" w:line="440" w:lineRule="exact"/>
        <w:ind w:firstLine="480"/>
        <w:rPr>
          <w:rFonts w:ascii="仿宋_GB2312" w:hAnsi="仿宋" w:eastAsia="仿宋_GB2312" w:cs="仿宋"/>
          <w:color w:val="333333"/>
          <w:sz w:val="32"/>
          <w:szCs w:val="32"/>
        </w:rPr>
      </w:pPr>
      <w:r>
        <w:rPr>
          <w:rFonts w:hint="eastAsia" w:ascii="仿宋_GB2312" w:hAnsi="仿宋" w:eastAsia="仿宋_GB2312" w:cs="仿宋"/>
          <w:color w:val="333333"/>
          <w:sz w:val="32"/>
          <w:szCs w:val="32"/>
        </w:rPr>
        <w:t xml:space="preserve"> 根据《中华人民共和国政府信息公开条例》和区政府有关信息公开工作会议精神，区运河指挥部编制2021年度政府信息公开年度报告。本报告包括主动公开政府信息的情况，依申请公开政府信息和不予公开政府信息的情况，政府信息公开的收费及减免情况，因政府信息公开申请行政复议、提起行政诉讼的情况，政府信息公开工作存在的主要问题及改进情况和其他需要报告的事项共六部分组成。</w:t>
      </w:r>
    </w:p>
    <w:p>
      <w:pPr>
        <w:pStyle w:val="5"/>
        <w:spacing w:before="0" w:beforeAutospacing="0" w:after="0" w:afterAutospacing="0" w:line="520" w:lineRule="exact"/>
        <w:ind w:firstLine="480"/>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（一）主动公开方面</w:t>
      </w:r>
    </w:p>
    <w:p>
      <w:pPr>
        <w:shd w:val="clear" w:color="auto" w:fill="FFFFFF"/>
        <w:spacing w:after="240" w:line="520" w:lineRule="exact"/>
        <w:ind w:firstLine="482"/>
        <w:rPr>
          <w:rFonts w:ascii="仿宋_GB2312" w:hAnsi="仿宋" w:eastAsia="仿宋_GB2312" w:cs="仿宋"/>
          <w:color w:val="000000"/>
          <w:sz w:val="32"/>
          <w:szCs w:val="32"/>
        </w:rPr>
      </w:pPr>
      <w:r>
        <w:rPr>
          <w:rFonts w:hint="eastAsia" w:ascii="微软雅黑" w:hAnsi="微软雅黑" w:eastAsia="仿宋_GB2312" w:cs="微软雅黑"/>
          <w:color w:val="333333"/>
          <w:sz w:val="32"/>
          <w:szCs w:val="32"/>
        </w:rPr>
        <w:t> </w:t>
      </w:r>
      <w:r>
        <w:rPr>
          <w:rFonts w:hint="eastAsia" w:ascii="仿宋_GB2312" w:hAnsi="仿宋" w:eastAsia="仿宋_GB2312" w:cs="仿宋"/>
          <w:color w:val="333333"/>
          <w:sz w:val="32"/>
          <w:szCs w:val="32"/>
        </w:rPr>
        <w:t>坚持“公开为常态、不公开为例外”的原则，2021年我部及时主动发布机构概况、领导及工作人员信息、政府工作、法规文件等内容，累计政府信息公开22条。</w:t>
      </w:r>
    </w:p>
    <w:p>
      <w:pPr>
        <w:pStyle w:val="5"/>
        <w:spacing w:before="0" w:beforeAutospacing="0" w:after="0" w:afterAutospacing="0" w:line="520" w:lineRule="exact"/>
        <w:ind w:firstLine="480"/>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（二）依申请公开方面</w:t>
      </w:r>
    </w:p>
    <w:p>
      <w:pPr>
        <w:pStyle w:val="5"/>
        <w:spacing w:before="0" w:beforeAutospacing="0" w:after="0" w:afterAutospacing="0" w:line="520" w:lineRule="exact"/>
        <w:ind w:firstLine="480"/>
        <w:rPr>
          <w:rFonts w:ascii="仿宋_GB2312" w:hAnsi="仿宋" w:eastAsia="仿宋_GB2312" w:cs="仿宋"/>
          <w:color w:val="333333"/>
          <w:sz w:val="32"/>
          <w:szCs w:val="32"/>
        </w:rPr>
      </w:pPr>
      <w:r>
        <w:rPr>
          <w:rFonts w:hint="eastAsia" w:ascii="仿宋_GB2312" w:hAnsi="仿宋" w:eastAsia="仿宋_GB2312" w:cs="仿宋"/>
          <w:color w:val="333333"/>
          <w:sz w:val="32"/>
          <w:szCs w:val="32"/>
        </w:rPr>
        <w:t xml:space="preserve"> 2021年我部收到政府信息公开申请0件。</w:t>
      </w:r>
    </w:p>
    <w:p>
      <w:pPr>
        <w:pStyle w:val="5"/>
        <w:spacing w:before="0" w:beforeAutospacing="0" w:after="0" w:afterAutospacing="0" w:line="520" w:lineRule="exact"/>
        <w:ind w:firstLine="480"/>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（三）平台建设方面</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1.公开的内容更充实。</w:t>
      </w:r>
      <w:r>
        <w:rPr>
          <w:rFonts w:hint="eastAsia" w:ascii="仿宋_GB2312" w:hAnsi="仿宋_GB2312" w:eastAsia="仿宋_GB2312" w:cs="仿宋_GB2312"/>
          <w:sz w:val="32"/>
          <w:szCs w:val="32"/>
        </w:rPr>
        <w:t>主动公开政务信息，使群众及时了解我部办事流程和工作动态，更加方便群众。全面加强主动公开工作，进一步拓展主动公开内容，加大政策解读回应力度，发挥各类信息公开平台和渠道作用。</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2.公开的时间及时。</w:t>
      </w:r>
      <w:r>
        <w:rPr>
          <w:rFonts w:hint="eastAsia" w:ascii="仿宋_GB2312" w:hAnsi="仿宋_GB2312" w:eastAsia="仿宋_GB2312" w:cs="仿宋_GB2312"/>
          <w:sz w:val="32"/>
          <w:szCs w:val="32"/>
        </w:rPr>
        <w:t>针对公开内容的不同情况，确定公开时间，做到常规性工作定期公开，临时性工作随时公开，固定性工作长期公开。</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3.公开重点突出。</w:t>
      </w:r>
      <w:r>
        <w:rPr>
          <w:rFonts w:hint="eastAsia" w:ascii="仿宋_GB2312" w:hAnsi="仿宋_GB2312" w:eastAsia="仿宋_GB2312" w:cs="仿宋_GB2312"/>
          <w:sz w:val="32"/>
          <w:szCs w:val="32"/>
        </w:rPr>
        <w:t>坚持把群众最关心、最需要了解的事项公开作为政务公开的重点,从加大推行政务公开的力度，区重点工作情况等信息都主动及时公开。</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4.信息审核严格。</w:t>
      </w:r>
      <w:r>
        <w:rPr>
          <w:rFonts w:hint="eastAsia" w:ascii="仿宋_GB2312" w:hAnsi="仿宋_GB2312" w:eastAsia="仿宋_GB2312" w:cs="仿宋_GB2312"/>
          <w:sz w:val="32"/>
          <w:szCs w:val="32"/>
        </w:rPr>
        <w:t>严把政务公开内容和项目关，既防止该公开的不公开，又防止不该公开的乱公开。严格落实信息公开保密审查制度，确保无泄密事件发生。</w:t>
      </w:r>
    </w:p>
    <w:p>
      <w:pPr>
        <w:adjustRightInd w:val="0"/>
        <w:snapToGrid w:val="0"/>
        <w:spacing w:line="520" w:lineRule="exact"/>
        <w:ind w:firstLine="471" w:firstLineChars="147"/>
        <w:rPr>
          <w:rFonts w:ascii="仿宋_GB2312" w:hAnsi="仿宋_GB2312" w:eastAsia="仿宋_GB2312" w:cs="仿宋_GB2312"/>
          <w:sz w:val="32"/>
          <w:szCs w:val="32"/>
        </w:rPr>
      </w:pPr>
      <w:r>
        <w:rPr>
          <w:rFonts w:hint="eastAsia" w:ascii="仿宋_GB2312" w:hAnsi="仿宋" w:eastAsia="仿宋_GB2312" w:cs="仿宋"/>
          <w:b/>
          <w:color w:val="333333"/>
          <w:sz w:val="32"/>
          <w:szCs w:val="32"/>
        </w:rPr>
        <w:t>（</w:t>
      </w:r>
      <w:r>
        <w:rPr>
          <w:rFonts w:hint="default" w:ascii="仿宋_GB2312" w:hAnsi="仿宋" w:eastAsia="仿宋_GB2312" w:cs="仿宋"/>
          <w:b/>
          <w:color w:val="333333"/>
          <w:sz w:val="32"/>
          <w:szCs w:val="32"/>
        </w:rPr>
        <w:t>四</w:t>
      </w:r>
      <w:r>
        <w:rPr>
          <w:rFonts w:hint="eastAsia" w:ascii="仿宋_GB2312" w:hAnsi="仿宋" w:eastAsia="仿宋_GB2312" w:cs="仿宋"/>
          <w:b/>
          <w:color w:val="333333"/>
          <w:sz w:val="32"/>
          <w:szCs w:val="32"/>
        </w:rPr>
        <w:t>）信息管理方面</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政务公开工作中，我们突出重点，讲求事实，创新形式，注重强化信息公开法规学习和内容审核，使信息工作人员明确了解政务公开的主体和原则、范围和内容、方式和程序、监督和保障等，增强了贯彻落实的自觉性、主动性，政务公开工作水平不断提高。</w:t>
      </w:r>
    </w:p>
    <w:p>
      <w:pPr>
        <w:pStyle w:val="5"/>
        <w:spacing w:before="0" w:beforeAutospacing="0" w:after="0" w:afterAutospacing="0" w:line="520" w:lineRule="exact"/>
        <w:ind w:left="48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w:t>
      </w:r>
      <w:r>
        <w:rPr>
          <w:rFonts w:hint="default" w:ascii="仿宋_GB2312" w:hAnsi="仿宋" w:eastAsia="仿宋_GB2312" w:cs="仿宋"/>
          <w:b/>
          <w:color w:val="000000"/>
          <w:sz w:val="32"/>
          <w:szCs w:val="32"/>
        </w:rPr>
        <w:t>五</w:t>
      </w:r>
      <w:r>
        <w:rPr>
          <w:rFonts w:hint="eastAsia" w:ascii="仿宋_GB2312" w:hAnsi="仿宋" w:eastAsia="仿宋_GB2312" w:cs="仿宋"/>
          <w:b/>
          <w:color w:val="000000"/>
          <w:sz w:val="32"/>
          <w:szCs w:val="32"/>
        </w:rPr>
        <w:t>）监督保障方面</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1.高度重视。</w:t>
      </w:r>
      <w:r>
        <w:rPr>
          <w:rFonts w:hint="eastAsia" w:ascii="仿宋_GB2312" w:hAnsi="仿宋_GB2312" w:eastAsia="仿宋_GB2312" w:cs="仿宋_GB2312"/>
          <w:color w:val="000000"/>
          <w:sz w:val="32"/>
          <w:szCs w:val="32"/>
        </w:rPr>
        <w:t>我部主要领导将其列入重要工作日程。成立了由分管负责人任组长，办公室工作人员为成员的政务公开工作领导小组，负责政府信息公开工作的组织领导，明确办公室工作人员承担我部政务公开工作领导小组日常工作，牵头推进我部政务公开工作，确定专人，明确分工，扎实推进政务公开工作。</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2.健全制度。</w:t>
      </w:r>
      <w:r>
        <w:rPr>
          <w:rFonts w:hint="eastAsia" w:ascii="仿宋_GB2312" w:hAnsi="仿宋_GB2312" w:eastAsia="仿宋_GB2312" w:cs="仿宋_GB2312"/>
          <w:color w:val="000000"/>
          <w:sz w:val="32"/>
          <w:szCs w:val="32"/>
        </w:rPr>
        <w:t>我部始终把制度建设贯穿于政务公开工作全过程，建立健全了工作年度报告制度、依申请公开制度、主动公开制度、政策解读制度、投诉举报制度等规章制度，使政务公开工作走上制度化、规范化的轨道。</w:t>
      </w:r>
      <w:r>
        <w:rPr>
          <w:rFonts w:hint="eastAsia" w:ascii="仿宋_GB2312" w:hAnsi="仿宋_GB2312" w:eastAsia="仿宋_GB2312" w:cs="仿宋_GB2312"/>
          <w:color w:val="000000"/>
          <w:sz w:val="32"/>
          <w:szCs w:val="32"/>
          <w:lang w:val="en-US" w:eastAsia="zh-CN"/>
        </w:rPr>
        <w:t>全年</w:t>
      </w:r>
      <w:bookmarkStart w:id="0" w:name="_GoBack"/>
      <w:bookmarkEnd w:id="0"/>
      <w:r>
        <w:rPr>
          <w:rFonts w:hint="eastAsia" w:ascii="仿宋_GB2312" w:hAnsi="仿宋_GB2312" w:eastAsia="仿宋_GB2312" w:cs="仿宋_GB2312"/>
          <w:color w:val="000000"/>
          <w:sz w:val="32"/>
          <w:szCs w:val="32"/>
        </w:rPr>
        <w:t>未发生政府信息公开责任追究结果情况。</w:t>
      </w:r>
    </w:p>
    <w:p>
      <w:pPr>
        <w:pStyle w:val="5"/>
        <w:spacing w:before="0" w:beforeAutospacing="0" w:after="0" w:afterAutospacing="0" w:line="520" w:lineRule="exact"/>
        <w:rPr>
          <w:rFonts w:ascii="仿宋_GB2312" w:hAnsi="仿宋" w:eastAsia="仿宋_GB2312" w:cs="仿宋"/>
          <w:color w:val="333333"/>
          <w:sz w:val="32"/>
          <w:szCs w:val="32"/>
        </w:rPr>
      </w:pPr>
      <w:r>
        <w:rPr>
          <w:rFonts w:hint="eastAsia" w:ascii="仿宋_GB2312" w:eastAsia="仿宋_GB2312"/>
          <w:b/>
          <w:bCs/>
          <w:color w:val="333333"/>
          <w:sz w:val="32"/>
          <w:szCs w:val="32"/>
        </w:rPr>
        <w:t>二、主动公开政府信息情况</w:t>
      </w:r>
    </w:p>
    <w:tbl>
      <w:tblPr>
        <w:tblStyle w:val="7"/>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rPr>
            </w:pPr>
            <w:r>
              <w:rPr>
                <w:rFonts w:hint="eastAsia" w:ascii="宋体" w:hAnsi="宋体" w:cs="宋体"/>
                <w:kern w:val="0"/>
              </w:rPr>
              <w:t>0</w:t>
            </w:r>
          </w:p>
        </w:tc>
      </w:tr>
    </w:tbl>
    <w:p>
      <w:pPr>
        <w:widowControl/>
        <w:shd w:val="clear" w:color="auto" w:fill="FFFFFF"/>
        <w:ind w:firstLine="480"/>
        <w:rPr>
          <w:rFonts w:ascii="宋体" w:hAnsi="宋体" w:cs="宋体"/>
          <w:color w:val="333333"/>
          <w:kern w:val="0"/>
          <w:sz w:val="24"/>
          <w:szCs w:val="24"/>
        </w:rPr>
      </w:pPr>
    </w:p>
    <w:p>
      <w:pPr>
        <w:widowControl/>
        <w:shd w:val="clear" w:color="auto" w:fill="FFFFFF"/>
        <w:spacing w:after="240" w:line="440" w:lineRule="exact"/>
        <w:ind w:firstLine="482"/>
        <w:rPr>
          <w:rFonts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三、收到和处理政府信息公开申请情况</w:t>
      </w:r>
    </w:p>
    <w:tbl>
      <w:tblPr>
        <w:tblStyle w:val="7"/>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r>
    </w:tbl>
    <w:p>
      <w:pPr>
        <w:widowControl/>
        <w:shd w:val="clear" w:color="auto" w:fill="FFFFFF"/>
        <w:ind w:firstLine="480"/>
        <w:rPr>
          <w:rFonts w:ascii="宋体" w:hAnsi="宋体" w:cs="宋体"/>
          <w:color w:val="333333"/>
          <w:kern w:val="0"/>
          <w:sz w:val="24"/>
          <w:szCs w:val="24"/>
        </w:rPr>
      </w:pPr>
    </w:p>
    <w:p>
      <w:pPr>
        <w:widowControl/>
        <w:shd w:val="clear" w:color="auto" w:fill="FFFFFF"/>
        <w:spacing w:line="440" w:lineRule="exact"/>
        <w:ind w:firstLine="482"/>
        <w:rPr>
          <w:rFonts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四、政府信息公开行政复议、行政诉讼情况</w:t>
      </w:r>
    </w:p>
    <w:p>
      <w:pPr>
        <w:widowControl/>
        <w:shd w:val="clear" w:color="auto" w:fill="FFFFFF"/>
        <w:ind w:firstLine="480"/>
        <w:rPr>
          <w:rFonts w:ascii="宋体" w:hAnsi="宋体" w:cs="宋体"/>
          <w:color w:val="333333"/>
          <w:kern w:val="0"/>
          <w:sz w:val="24"/>
          <w:szCs w:val="24"/>
        </w:rPr>
      </w:pPr>
    </w:p>
    <w:tbl>
      <w:tblPr>
        <w:tblStyle w:val="7"/>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w:t>
            </w: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w:t>
            </w: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rPr>
            </w:pPr>
            <w:r>
              <w:rPr>
                <w:rFonts w:hint="eastAsia" w:ascii="宋体" w:hAnsi="宋体" w:cs="宋体"/>
                <w:kern w:val="0"/>
                <w:sz w:val="20"/>
                <w:szCs w:val="20"/>
              </w:rPr>
              <w:t>0</w:t>
            </w:r>
          </w:p>
        </w:tc>
      </w:tr>
    </w:tbl>
    <w:p>
      <w:pPr>
        <w:widowControl/>
        <w:shd w:val="clear" w:color="auto" w:fill="FFFFFF"/>
        <w:jc w:val="center"/>
        <w:rPr>
          <w:rFonts w:ascii="宋体" w:hAnsi="宋体" w:cs="宋体"/>
          <w:color w:val="333333"/>
          <w:kern w:val="0"/>
          <w:sz w:val="24"/>
          <w:szCs w:val="24"/>
        </w:rPr>
      </w:pPr>
    </w:p>
    <w:p>
      <w:pPr>
        <w:pStyle w:val="5"/>
        <w:spacing w:before="0" w:beforeAutospacing="0" w:after="0" w:afterAutospacing="0" w:line="440" w:lineRule="exact"/>
        <w:ind w:firstLine="482"/>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五、存在的主要问题及改进情况</w:t>
      </w:r>
    </w:p>
    <w:p>
      <w:pPr>
        <w:pStyle w:val="5"/>
        <w:spacing w:before="0" w:beforeAutospacing="0" w:after="0" w:afterAutospacing="0" w:line="440" w:lineRule="exact"/>
        <w:ind w:firstLine="482"/>
        <w:rPr>
          <w:rFonts w:ascii="仿宋_GB2312" w:hAnsi="仿宋" w:eastAsia="仿宋_GB2312" w:cs="仿宋"/>
          <w:b/>
          <w:bCs/>
          <w:color w:val="333333"/>
          <w:sz w:val="32"/>
          <w:szCs w:val="32"/>
        </w:rPr>
      </w:pPr>
      <w:r>
        <w:rPr>
          <w:rFonts w:hint="eastAsia" w:ascii="仿宋_GB2312" w:hAnsi="仿宋" w:eastAsia="仿宋_GB2312" w:cs="仿宋"/>
          <w:b/>
          <w:bCs/>
          <w:color w:val="333333"/>
          <w:sz w:val="32"/>
          <w:szCs w:val="32"/>
        </w:rPr>
        <w:t>（一）存在问题</w:t>
      </w:r>
    </w:p>
    <w:p>
      <w:pPr>
        <w:pStyle w:val="5"/>
        <w:spacing w:before="0" w:beforeAutospacing="0" w:after="0" w:afterAutospacing="0" w:line="440" w:lineRule="exact"/>
        <w:ind w:firstLine="482"/>
        <w:rPr>
          <w:rFonts w:ascii="仿宋_GB2312" w:hAnsi="仿宋" w:eastAsia="仿宋_GB2312" w:cs="仿宋"/>
          <w:color w:val="333333"/>
          <w:sz w:val="32"/>
          <w:szCs w:val="32"/>
        </w:rPr>
      </w:pPr>
      <w:r>
        <w:rPr>
          <w:rFonts w:hint="eastAsia" w:ascii="仿宋_GB2312" w:hAnsi="仿宋" w:eastAsia="仿宋_GB2312" w:cs="仿宋"/>
          <w:color w:val="333333"/>
          <w:sz w:val="32"/>
          <w:szCs w:val="32"/>
        </w:rPr>
        <w:t xml:space="preserve"> 2021年在政府信息公开工作方面主要存在的问题是；信息公开的内容发布需及时。</w:t>
      </w:r>
    </w:p>
    <w:p>
      <w:pPr>
        <w:pStyle w:val="5"/>
        <w:spacing w:before="0" w:beforeAutospacing="0" w:after="0" w:afterAutospacing="0" w:line="440" w:lineRule="exact"/>
        <w:ind w:firstLine="482"/>
        <w:rPr>
          <w:rFonts w:ascii="仿宋_GB2312" w:hAnsi="仿宋" w:eastAsia="仿宋_GB2312" w:cs="仿宋"/>
          <w:color w:val="333333"/>
          <w:sz w:val="32"/>
          <w:szCs w:val="32"/>
        </w:rPr>
      </w:pPr>
      <w:r>
        <w:rPr>
          <w:rFonts w:hint="eastAsia" w:ascii="仿宋_GB2312" w:hAnsi="仿宋" w:eastAsia="仿宋_GB2312" w:cs="仿宋"/>
          <w:b/>
          <w:bCs/>
          <w:color w:val="333333"/>
          <w:sz w:val="32"/>
          <w:szCs w:val="32"/>
        </w:rPr>
        <w:t>（二）改进措施</w:t>
      </w:r>
    </w:p>
    <w:p>
      <w:pPr>
        <w:pStyle w:val="5"/>
        <w:spacing w:before="0" w:beforeAutospacing="0" w:after="0" w:afterAutospacing="0" w:line="440" w:lineRule="exact"/>
        <w:ind w:firstLine="482"/>
        <w:rPr>
          <w:rFonts w:ascii="仿宋_GB2312" w:hAnsi="仿宋" w:eastAsia="仿宋_GB2312" w:cs="仿宋"/>
          <w:color w:val="333333"/>
          <w:sz w:val="32"/>
          <w:szCs w:val="32"/>
        </w:rPr>
      </w:pPr>
      <w:r>
        <w:rPr>
          <w:rFonts w:hint="eastAsia" w:ascii="仿宋_GB2312" w:hAnsi="仿宋" w:eastAsia="仿宋_GB2312" w:cs="仿宋"/>
          <w:color w:val="333333"/>
          <w:sz w:val="32"/>
          <w:szCs w:val="32"/>
        </w:rPr>
        <w:t xml:space="preserve"> 2021年我们将按照国家、省、市和区的要求，继续大力推进指挥部政府信息公开工作，主要是做好以下几方面工作：</w:t>
      </w:r>
    </w:p>
    <w:p>
      <w:pPr>
        <w:pStyle w:val="5"/>
        <w:spacing w:before="0" w:beforeAutospacing="0" w:after="0" w:afterAutospacing="0" w:line="440" w:lineRule="exact"/>
        <w:ind w:firstLine="482"/>
        <w:rPr>
          <w:rFonts w:ascii="仿宋_GB2312" w:hAnsi="仿宋" w:eastAsia="仿宋_GB2312" w:cs="仿宋"/>
          <w:color w:val="333333"/>
          <w:sz w:val="32"/>
          <w:szCs w:val="32"/>
        </w:rPr>
      </w:pPr>
      <w:r>
        <w:rPr>
          <w:rFonts w:hint="eastAsia" w:ascii="仿宋_GB2312" w:hAnsi="仿宋" w:eastAsia="仿宋_GB2312" w:cs="仿宋"/>
          <w:color w:val="333333"/>
          <w:sz w:val="32"/>
          <w:szCs w:val="32"/>
        </w:rPr>
        <w:t xml:space="preserve"> 1、继续强化组织领导，做好政务公开工作的落实。抓好政务公开网建设，抓好公开内容审核关，及时公开政务信息。</w:t>
      </w:r>
    </w:p>
    <w:p>
      <w:pPr>
        <w:pStyle w:val="5"/>
        <w:spacing w:before="0" w:beforeAutospacing="0" w:after="0" w:afterAutospacing="0" w:line="440" w:lineRule="exact"/>
        <w:ind w:firstLine="482"/>
        <w:rPr>
          <w:rFonts w:ascii="仿宋_GB2312" w:hAnsi="仿宋" w:eastAsia="仿宋_GB2312" w:cs="仿宋"/>
          <w:color w:val="333333"/>
          <w:sz w:val="32"/>
          <w:szCs w:val="32"/>
        </w:rPr>
      </w:pPr>
      <w:r>
        <w:rPr>
          <w:rFonts w:hint="eastAsia" w:ascii="仿宋_GB2312" w:hAnsi="仿宋" w:eastAsia="仿宋_GB2312" w:cs="仿宋"/>
          <w:color w:val="333333"/>
          <w:sz w:val="32"/>
          <w:szCs w:val="32"/>
        </w:rPr>
        <w:t xml:space="preserve"> 2、加强信息报送网络建设，提高信息报送人员的基本素质，力争及时准确得到信息内容，并且及时起草、编发、公布，保障信息的及时性、准确性。</w:t>
      </w:r>
    </w:p>
    <w:p>
      <w:pPr>
        <w:pStyle w:val="5"/>
        <w:spacing w:before="0" w:beforeAutospacing="0" w:after="0" w:afterAutospacing="0" w:line="440" w:lineRule="exact"/>
        <w:ind w:firstLine="482"/>
        <w:rPr>
          <w:rFonts w:ascii="仿宋_GB2312" w:hAnsi="仿宋" w:eastAsia="仿宋_GB2312" w:cs="仿宋"/>
          <w:color w:val="333333"/>
          <w:sz w:val="32"/>
          <w:szCs w:val="32"/>
        </w:rPr>
      </w:pPr>
      <w:r>
        <w:rPr>
          <w:rFonts w:hint="eastAsia" w:ascii="仿宋_GB2312" w:hAnsi="仿宋" w:eastAsia="仿宋_GB2312" w:cs="仿宋"/>
          <w:color w:val="333333"/>
          <w:sz w:val="32"/>
          <w:szCs w:val="32"/>
        </w:rPr>
        <w:t xml:space="preserve"> 3、建立健全各项制度及政务公开档案。对现有制度进一步完善，对应建未建的制度尽快建立并注重抓落实。对政务档案进行完善整理，对应纳入政务公开档案的材料要千方百计收集，确保资料的完整。</w:t>
      </w:r>
    </w:p>
    <w:p>
      <w:pPr>
        <w:pStyle w:val="5"/>
        <w:spacing w:before="0" w:beforeAutospacing="0" w:after="0" w:afterAutospacing="0" w:line="440" w:lineRule="exact"/>
        <w:ind w:firstLine="482"/>
        <w:rPr>
          <w:rFonts w:ascii="仿宋_GB2312" w:hAnsi="仿宋" w:eastAsia="仿宋_GB2312" w:cs="仿宋"/>
          <w:color w:val="333333"/>
          <w:sz w:val="32"/>
          <w:szCs w:val="32"/>
        </w:rPr>
      </w:pPr>
    </w:p>
    <w:p>
      <w:pPr>
        <w:pStyle w:val="5"/>
        <w:spacing w:before="0" w:beforeAutospacing="0" w:after="0" w:afterAutospacing="0" w:line="440" w:lineRule="exact"/>
        <w:ind w:firstLine="482"/>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 xml:space="preserve"> 六、其他需要报告的事项</w:t>
      </w:r>
    </w:p>
    <w:p>
      <w:pPr>
        <w:pStyle w:val="5"/>
        <w:spacing w:before="0" w:beforeAutospacing="0" w:after="0" w:afterAutospacing="0" w:line="440" w:lineRule="exact"/>
        <w:ind w:firstLine="482"/>
        <w:rPr>
          <w:rFonts w:hint="default"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2021年我部</w:t>
      </w:r>
      <w:r>
        <w:rPr>
          <w:rFonts w:hint="default" w:ascii="仿宋_GB2312" w:hAnsi="仿宋" w:eastAsia="仿宋_GB2312" w:cs="仿宋"/>
          <w:color w:val="000000"/>
          <w:sz w:val="32"/>
          <w:szCs w:val="32"/>
        </w:rPr>
        <w:t>未收取政府信息公开相关费用</w:t>
      </w: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rPr>
          <w:rFonts w:ascii="仿宋_GB2312" w:hAnsi="宋体" w:eastAsia="仿宋_GB2312" w:cs="Times New Roman"/>
          <w:sz w:val="32"/>
          <w:szCs w:val="32"/>
        </w:rPr>
      </w:pPr>
    </w:p>
    <w:p/>
    <w:p/>
    <w:p/>
    <w:p/>
    <w:p/>
    <w:p/>
    <w:p>
      <w:r>
        <w:rPr>
          <w:rFonts w:hint="eastAsia"/>
        </w:rPr>
        <w:br w:type="page"/>
      </w: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952EF"/>
    <w:rsid w:val="00007B33"/>
    <w:rsid w:val="000421FB"/>
    <w:rsid w:val="00053BCD"/>
    <w:rsid w:val="00084680"/>
    <w:rsid w:val="000952EF"/>
    <w:rsid w:val="00102081"/>
    <w:rsid w:val="00194101"/>
    <w:rsid w:val="001F4EDF"/>
    <w:rsid w:val="00211634"/>
    <w:rsid w:val="002218CB"/>
    <w:rsid w:val="00257B28"/>
    <w:rsid w:val="0028528B"/>
    <w:rsid w:val="002C7EE9"/>
    <w:rsid w:val="00325838"/>
    <w:rsid w:val="00333D50"/>
    <w:rsid w:val="0034421C"/>
    <w:rsid w:val="00375F75"/>
    <w:rsid w:val="003C0F9E"/>
    <w:rsid w:val="004265DC"/>
    <w:rsid w:val="004401C7"/>
    <w:rsid w:val="004B1CAB"/>
    <w:rsid w:val="00550935"/>
    <w:rsid w:val="00554429"/>
    <w:rsid w:val="005663A0"/>
    <w:rsid w:val="00571A11"/>
    <w:rsid w:val="005A1D80"/>
    <w:rsid w:val="005A5FBE"/>
    <w:rsid w:val="00684FC0"/>
    <w:rsid w:val="007419A4"/>
    <w:rsid w:val="0074311C"/>
    <w:rsid w:val="00745C71"/>
    <w:rsid w:val="007C0E76"/>
    <w:rsid w:val="00850650"/>
    <w:rsid w:val="008B5435"/>
    <w:rsid w:val="00903854"/>
    <w:rsid w:val="00923D0B"/>
    <w:rsid w:val="00945C9E"/>
    <w:rsid w:val="009C4810"/>
    <w:rsid w:val="009E137F"/>
    <w:rsid w:val="00A24DC4"/>
    <w:rsid w:val="00A41EC2"/>
    <w:rsid w:val="00A54797"/>
    <w:rsid w:val="00A54DD4"/>
    <w:rsid w:val="00A728B9"/>
    <w:rsid w:val="00A84A2D"/>
    <w:rsid w:val="00B04A91"/>
    <w:rsid w:val="00B6641B"/>
    <w:rsid w:val="00B73273"/>
    <w:rsid w:val="00BB4A43"/>
    <w:rsid w:val="00C74B65"/>
    <w:rsid w:val="00CB3389"/>
    <w:rsid w:val="00CC6388"/>
    <w:rsid w:val="00CE01FD"/>
    <w:rsid w:val="00CE164A"/>
    <w:rsid w:val="00CE2551"/>
    <w:rsid w:val="00CE606E"/>
    <w:rsid w:val="00D73891"/>
    <w:rsid w:val="00D840E4"/>
    <w:rsid w:val="00D87C8C"/>
    <w:rsid w:val="00EC7FFA"/>
    <w:rsid w:val="00EE2982"/>
    <w:rsid w:val="00F127B9"/>
    <w:rsid w:val="00F63F75"/>
    <w:rsid w:val="00F84639"/>
    <w:rsid w:val="00FB7EF5"/>
    <w:rsid w:val="263C7708"/>
    <w:rsid w:val="579B84D4"/>
    <w:rsid w:val="AFFC52F0"/>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批注框文本 Char"/>
    <w:basedOn w:val="6"/>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微软公司</Company>
  <Pages>1</Pages>
  <Words>402</Words>
  <Characters>2296</Characters>
  <Lines>19</Lines>
  <Paragraphs>5</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2022-01-07T09:26:00Z</dcterms:created>
  <dc:creator>微软用户</dc:creator>
  <cp:lastModifiedBy>项逸伟</cp:lastModifiedBy>
  <cp:lastPrinted>2021-02-02T09:44:00Z</cp:lastPrinted>
  <dcterms:modified xsi:type="dcterms:W3CDTF">2022-01-25T06:28:52Z</dcterms:modified>
  <dc:title>区运河指挥部2021年政府信息公开工作年度报告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