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ascii="方正小标宋简体" w:eastAsia="方正小标宋简体" w:cs="宋体" w:hAnsiTheme="majorEastAsia"/>
          <w:sz w:val="44"/>
          <w:szCs w:val="44"/>
        </w:rPr>
      </w:pPr>
      <w:r>
        <w:rPr>
          <w:rFonts w:hint="eastAsia" w:ascii="方正小标宋简体" w:eastAsia="方正小标宋简体" w:cs="宋体" w:hAnsiTheme="majorEastAsia"/>
          <w:sz w:val="44"/>
          <w:szCs w:val="44"/>
        </w:rPr>
        <w:t>2021年拱墅区朝晖街道政府信息公开</w:t>
      </w:r>
    </w:p>
    <w:p>
      <w:pPr>
        <w:spacing w:line="600" w:lineRule="exact"/>
        <w:contextualSpacing/>
        <w:jc w:val="center"/>
        <w:rPr>
          <w:rFonts w:ascii="方正小标宋简体" w:eastAsia="方正小标宋简体" w:cs="宋体" w:hAnsiTheme="majorEastAsia"/>
          <w:sz w:val="44"/>
          <w:szCs w:val="44"/>
        </w:rPr>
      </w:pPr>
      <w:r>
        <w:rPr>
          <w:rFonts w:hint="eastAsia" w:ascii="方正小标宋简体" w:eastAsia="方正小标宋简体" w:cs="宋体" w:hAnsiTheme="majorEastAsia"/>
          <w:sz w:val="44"/>
          <w:szCs w:val="44"/>
        </w:rPr>
        <w:t>年度工作报告</w:t>
      </w:r>
    </w:p>
    <w:p>
      <w:pPr>
        <w:spacing w:line="360" w:lineRule="auto"/>
        <w:ind w:firstLine="640" w:firstLineChars="200"/>
        <w:contextualSpacing/>
        <w:rPr>
          <w:rFonts w:ascii="仿宋_GB2312" w:hAnsi="宋体" w:eastAsia="仿宋_GB2312" w:cs="宋体"/>
          <w:sz w:val="32"/>
          <w:szCs w:val="32"/>
        </w:rPr>
      </w:pPr>
    </w:p>
    <w:p>
      <w:pPr>
        <w:widowControl/>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2021年，朝晖街道政府信息公开工作坚持以习近平新时代中国特色社会主义思想为指导，全面贯彻落实党的十九大和十九届二中、三中、四中、五中全会精神，深入贯彻落实《中华人民共和国政府信息公开条例》以及国家和省、市、区全面推进政务公开工作的决策部署，以提升政务公开质量为主线、提高政府治理和政务服务水平为关键，把政务公开工作与街道中心工作同研究、同部署、同考核、同推进，着力加强政策解读和回应关切、推进决策和执行公开、深化重点领域信息公开、强化公开平台建设管理，推进政务公开制度化规范化建设，确保年度政务公开各项工作任务的落实，各项工作取得了明显成效，有效促进政府决策的民主化、科学化，增强政府行为的透明度，提高政府的执行力和公信力，强化对行政权力运行监督，切实保障了人民群众的知情权、参与权、表达权和监督权，为辖区经济社会高质量发展提供了强有力的保障。 </w:t>
      </w:r>
    </w:p>
    <w:p>
      <w:pPr>
        <w:widowControl/>
        <w:snapToGrid w:val="0"/>
        <w:spacing w:line="360" w:lineRule="auto"/>
        <w:ind w:firstLine="643" w:firstLineChars="200"/>
        <w:jc w:val="left"/>
        <w:rPr>
          <w:rFonts w:ascii="黑体" w:hAnsi="黑体" w:eastAsia="黑体" w:cs="仿宋"/>
          <w:b/>
          <w:bCs/>
          <w:sz w:val="32"/>
          <w:szCs w:val="32"/>
        </w:rPr>
      </w:pPr>
      <w:r>
        <w:rPr>
          <w:rFonts w:hint="eastAsia" w:ascii="黑体" w:hAnsi="黑体" w:eastAsia="黑体" w:cs="仿宋"/>
          <w:b/>
          <w:bCs/>
          <w:sz w:val="32"/>
          <w:szCs w:val="32"/>
        </w:rPr>
        <w:t>一、总体情况</w:t>
      </w:r>
    </w:p>
    <w:p>
      <w:pPr>
        <w:widowControl/>
        <w:snapToGrid w:val="0"/>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sz w:val="32"/>
          <w:szCs w:val="32"/>
        </w:rPr>
        <w:t>严格按照2021年政务公开工作要点，坚持以问题为导向，以区政府门户网站的信息公开平台建设为依托，不断优化信息公开栏目设置，修订完善政府信息公开指南，对政府信息公开目录进行科学分类，进一步提升信息查找的便捷性，扎实做好重点领域信息公开，全面贯彻决策公开、执行公开、管理公开、服务公开、结果公开的“五公开”原则，进一步推动权力运行、政务服务公开化和规范化，依法保障人民群众的知情权、参与权</w:t>
      </w:r>
      <w:r>
        <w:rPr>
          <w:rFonts w:hint="eastAsia" w:ascii="仿宋" w:hAnsi="仿宋" w:eastAsia="仿宋" w:cs="仿宋"/>
          <w:color w:val="auto"/>
          <w:sz w:val="32"/>
          <w:szCs w:val="32"/>
        </w:rPr>
        <w:t>和监督权。</w:t>
      </w:r>
    </w:p>
    <w:p>
      <w:pPr>
        <w:widowControl/>
        <w:snapToGrid w:val="0"/>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(一）主动公开情况：全年政府网站主动公开政务信息共558条，通过朝晖访谈发布（微博、微信）519条、通知公告信息14条、预决算2条、各类文件23条。</w:t>
      </w:r>
    </w:p>
    <w:p>
      <w:pPr>
        <w:widowControl/>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auto"/>
          <w:sz w:val="32"/>
          <w:szCs w:val="32"/>
        </w:rPr>
        <w:t>（二）依申请公开信息情况：全年依申请公开1</w:t>
      </w:r>
      <w:r>
        <w:rPr>
          <w:rFonts w:hint="eastAsia" w:ascii="仿宋" w:hAnsi="仿宋" w:eastAsia="仿宋" w:cs="仿宋"/>
          <w:sz w:val="32"/>
          <w:szCs w:val="32"/>
        </w:rPr>
        <w:t>条，均已受理并给予答复办结，未收到针对本街道有关的政府信息公开方面的行政复议、行政诉讼和申诉。街道完善政府信息管理，制定了完整的审批发布制度并严格按照制度执行。</w:t>
      </w:r>
    </w:p>
    <w:p>
      <w:pPr>
        <w:widowControl/>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（三）平台建设情况：根据及时、准确、便民的原则公开政府信息，切实保障公民的知情权。采取了电子平台公开方式，打造门户网站栏目、政务新媒体 （“</w:t>
      </w:r>
      <w:r>
        <w:rPr>
          <w:rFonts w:hint="eastAsia" w:ascii="仿宋" w:hAnsi="仿宋" w:eastAsia="仿宋" w:cs="仿宋"/>
          <w:sz w:val="32"/>
          <w:szCs w:val="32"/>
          <w:lang w:eastAsia="zh-CN"/>
        </w:rPr>
        <w:t>朝晖访谈</w:t>
      </w:r>
      <w:r>
        <w:rPr>
          <w:rFonts w:hint="eastAsia" w:ascii="仿宋" w:hAnsi="仿宋" w:eastAsia="仿宋" w:cs="仿宋"/>
          <w:sz w:val="32"/>
          <w:szCs w:val="32"/>
        </w:rPr>
        <w:t>”微信公众号）等多种公开渠道，定期更新维护，政务公开事项一网集成,确保居民及时、有效的获取政府信息。</w:t>
      </w:r>
    </w:p>
    <w:p>
      <w:pPr>
        <w:widowControl/>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监督保障情况：严格落实区政务公开考评细则，及时整改市、区月度通报中存在的问题。建立政务公开社会评议制度，邀请“两代表一委员”及其他居民议事会议成员对政务公开等政府工作情况提出意见建议，对街道民生微实事项目实行票选和全程监督。2021年，未发生政府信息公开工作责任追究结果情况。</w:t>
      </w:r>
    </w:p>
    <w:p>
      <w:pPr>
        <w:widowControl/>
        <w:snapToGrid w:val="0"/>
        <w:spacing w:line="360" w:lineRule="auto"/>
        <w:ind w:firstLine="643" w:firstLineChars="200"/>
        <w:jc w:val="left"/>
        <w:rPr>
          <w:rFonts w:ascii="黑体" w:hAnsi="黑体" w:eastAsia="黑体" w:cs="仿宋"/>
          <w:b/>
          <w:bCs/>
          <w:sz w:val="32"/>
          <w:szCs w:val="32"/>
        </w:rPr>
      </w:pPr>
      <w:r>
        <w:rPr>
          <w:rFonts w:hint="eastAsia" w:ascii="黑体" w:hAnsi="黑体" w:eastAsia="黑体" w:cs="仿宋"/>
          <w:b/>
          <w:bCs/>
          <w:sz w:val="32"/>
          <w:szCs w:val="32"/>
        </w:rPr>
        <w:t>二、主动公开政府信息情况</w:t>
      </w:r>
    </w:p>
    <w:p>
      <w:pPr>
        <w:widowControl/>
        <w:snapToGrid w:val="0"/>
        <w:spacing w:line="360" w:lineRule="auto"/>
        <w:ind w:firstLine="643" w:firstLineChars="200"/>
        <w:jc w:val="left"/>
        <w:rPr>
          <w:rFonts w:ascii="黑体" w:hAnsi="黑体" w:eastAsia="黑体" w:cs="仿宋"/>
          <w:b/>
          <w:bCs/>
          <w:sz w:val="32"/>
          <w:szCs w:val="32"/>
        </w:rPr>
      </w:pPr>
    </w:p>
    <w:tbl>
      <w:tblPr>
        <w:tblStyle w:val="6"/>
        <w:tblW w:w="9161" w:type="dxa"/>
        <w:jc w:val="center"/>
        <w:tblLayout w:type="fixed"/>
        <w:tblCellMar>
          <w:top w:w="0" w:type="dxa"/>
          <w:left w:w="0" w:type="dxa"/>
          <w:bottom w:w="0" w:type="dxa"/>
          <w:right w:w="0" w:type="dxa"/>
        </w:tblCellMar>
      </w:tblPr>
      <w:tblGrid>
        <w:gridCol w:w="2290"/>
        <w:gridCol w:w="2290"/>
        <w:gridCol w:w="2290"/>
        <w:gridCol w:w="2291"/>
      </w:tblGrid>
      <w:tr>
        <w:tblPrEx>
          <w:tblCellMar>
            <w:top w:w="0" w:type="dxa"/>
            <w:left w:w="0" w:type="dxa"/>
            <w:bottom w:w="0" w:type="dxa"/>
            <w:right w:w="0" w:type="dxa"/>
          </w:tblCellMar>
        </w:tblPrEx>
        <w:trPr>
          <w:trHeight w:val="340" w:hRule="atLeast"/>
          <w:jc w:val="center"/>
        </w:trPr>
        <w:tc>
          <w:tcPr>
            <w:tcW w:w="9161"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信息内容</w:t>
            </w:r>
          </w:p>
        </w:tc>
        <w:tc>
          <w:tcPr>
            <w:tcW w:w="229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290"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本年废止件数</w:t>
            </w:r>
          </w:p>
        </w:tc>
        <w:tc>
          <w:tcPr>
            <w:tcW w:w="229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现行有效件</w:t>
            </w:r>
            <w:r>
              <w:rPr>
                <w:rFonts w:ascii="宋体" w:hAnsi="宋体"/>
                <w:kern w:val="0"/>
                <w:sz w:val="20"/>
                <w:szCs w:val="20"/>
              </w:rPr>
              <w:t>数</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规章</w:t>
            </w:r>
          </w:p>
        </w:tc>
        <w:tc>
          <w:tcPr>
            <w:tcW w:w="22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0</w:t>
            </w:r>
          </w:p>
        </w:tc>
        <w:tc>
          <w:tcPr>
            <w:tcW w:w="2290"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0</w:t>
            </w:r>
          </w:p>
        </w:tc>
        <w:tc>
          <w:tcPr>
            <w:tcW w:w="22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rPr>
              <w:t>0</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行政规范性文件</w:t>
            </w:r>
          </w:p>
        </w:tc>
        <w:tc>
          <w:tcPr>
            <w:tcW w:w="22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kern w:val="0"/>
                <w:sz w:val="20"/>
                <w:szCs w:val="20"/>
                <w:lang w:val="en-US" w:eastAsia="zh-CN"/>
              </w:rPr>
              <w:t>0</w:t>
            </w:r>
          </w:p>
        </w:tc>
        <w:tc>
          <w:tcPr>
            <w:tcW w:w="2290"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0</w:t>
            </w:r>
          </w:p>
        </w:tc>
        <w:tc>
          <w:tcPr>
            <w:tcW w:w="22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kern w:val="0"/>
                <w:sz w:val="20"/>
                <w:szCs w:val="20"/>
                <w:lang w:val="en-US" w:eastAsia="zh-CN"/>
              </w:rPr>
              <w:t>0</w:t>
            </w:r>
            <w:bookmarkStart w:id="0" w:name="_GoBack"/>
            <w:bookmarkEnd w:id="0"/>
          </w:p>
        </w:tc>
      </w:tr>
      <w:tr>
        <w:tblPrEx>
          <w:tblCellMar>
            <w:top w:w="0" w:type="dxa"/>
            <w:left w:w="0" w:type="dxa"/>
            <w:bottom w:w="0" w:type="dxa"/>
            <w:right w:w="0" w:type="dxa"/>
          </w:tblCellMar>
        </w:tblPrEx>
        <w:trPr>
          <w:trHeight w:val="340" w:hRule="atLeast"/>
          <w:jc w:val="center"/>
        </w:trPr>
        <w:tc>
          <w:tcPr>
            <w:tcW w:w="9161"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信息内容</w:t>
            </w:r>
          </w:p>
        </w:tc>
        <w:tc>
          <w:tcPr>
            <w:tcW w:w="6871" w:type="dxa"/>
            <w:gridSpan w:val="3"/>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290"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行政许可</w:t>
            </w:r>
          </w:p>
        </w:tc>
        <w:tc>
          <w:tcPr>
            <w:tcW w:w="6871" w:type="dxa"/>
            <w:gridSpan w:val="3"/>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rPr>
              <w:t>0</w:t>
            </w:r>
          </w:p>
        </w:tc>
      </w:tr>
      <w:tr>
        <w:tblPrEx>
          <w:tblCellMar>
            <w:top w:w="0" w:type="dxa"/>
            <w:left w:w="0" w:type="dxa"/>
            <w:bottom w:w="0" w:type="dxa"/>
            <w:right w:w="0" w:type="dxa"/>
          </w:tblCellMar>
        </w:tblPrEx>
        <w:trPr>
          <w:trHeight w:val="608" w:hRule="atLeast"/>
          <w:jc w:val="center"/>
        </w:trPr>
        <w:tc>
          <w:tcPr>
            <w:tcW w:w="9161" w:type="dxa"/>
            <w:gridSpan w:val="4"/>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Theme="minorEastAsia" w:hAnsiTheme="minorEastAsia"/>
                <w:sz w:val="20"/>
                <w:szCs w:val="20"/>
              </w:rP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290" w:type="dxa"/>
            <w:tcBorders>
              <w:top w:val="single" w:color="auto" w:sz="4"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信息内容</w:t>
            </w:r>
          </w:p>
        </w:tc>
        <w:tc>
          <w:tcPr>
            <w:tcW w:w="6871" w:type="dxa"/>
            <w:gridSpan w:val="3"/>
            <w:tcBorders>
              <w:top w:val="single" w:color="auto" w:sz="4"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行政处罚</w:t>
            </w:r>
          </w:p>
        </w:tc>
        <w:tc>
          <w:tcPr>
            <w:tcW w:w="6871" w:type="dxa"/>
            <w:gridSpan w:val="3"/>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行政强制</w:t>
            </w:r>
          </w:p>
        </w:tc>
        <w:tc>
          <w:tcPr>
            <w:tcW w:w="6871" w:type="dxa"/>
            <w:gridSpan w:val="3"/>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340" w:hRule="atLeast"/>
          <w:jc w:val="center"/>
        </w:trPr>
        <w:tc>
          <w:tcPr>
            <w:tcW w:w="9161" w:type="dxa"/>
            <w:gridSpan w:val="4"/>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信息内容</w:t>
            </w:r>
          </w:p>
        </w:tc>
        <w:tc>
          <w:tcPr>
            <w:tcW w:w="6871" w:type="dxa"/>
            <w:gridSpan w:val="3"/>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pPr>
            <w:r>
              <w:rPr>
                <w:rFonts w:hint="eastAsia" w:ascii="宋体" w:hAnsi="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行政事业性收费</w:t>
            </w:r>
          </w:p>
        </w:tc>
        <w:tc>
          <w:tcPr>
            <w:tcW w:w="6871" w:type="dxa"/>
            <w:gridSpan w:val="3"/>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rPr>
              <w:t>0</w:t>
            </w:r>
          </w:p>
        </w:tc>
      </w:tr>
    </w:tbl>
    <w:p>
      <w:pPr>
        <w:widowControl/>
        <w:snapToGrid w:val="0"/>
        <w:spacing w:line="360" w:lineRule="auto"/>
        <w:jc w:val="left"/>
        <w:rPr>
          <w:rFonts w:ascii="黑体" w:hAnsi="黑体" w:eastAsia="黑体" w:cs="仿宋"/>
          <w:b/>
          <w:bCs/>
          <w:sz w:val="32"/>
          <w:szCs w:val="32"/>
        </w:rPr>
      </w:pPr>
    </w:p>
    <w:p>
      <w:pPr>
        <w:widowControl/>
        <w:snapToGrid w:val="0"/>
        <w:spacing w:line="360" w:lineRule="auto"/>
        <w:jc w:val="left"/>
        <w:rPr>
          <w:rFonts w:ascii="黑体" w:hAnsi="黑体" w:eastAsia="黑体" w:cs="仿宋"/>
          <w:b/>
          <w:bCs/>
          <w:sz w:val="32"/>
          <w:szCs w:val="32"/>
        </w:rPr>
      </w:pPr>
    </w:p>
    <w:p>
      <w:pPr>
        <w:widowControl/>
        <w:snapToGrid w:val="0"/>
        <w:spacing w:line="360" w:lineRule="auto"/>
        <w:ind w:firstLine="643" w:firstLineChars="200"/>
        <w:jc w:val="left"/>
        <w:rPr>
          <w:rFonts w:ascii="黑体" w:hAnsi="黑体" w:eastAsia="黑体" w:cs="仿宋"/>
          <w:b/>
          <w:bCs/>
          <w:sz w:val="32"/>
          <w:szCs w:val="32"/>
        </w:rPr>
      </w:pPr>
      <w:r>
        <w:rPr>
          <w:rFonts w:hint="eastAsia" w:ascii="黑体" w:hAnsi="黑体" w:eastAsia="黑体" w:cs="仿宋"/>
          <w:b/>
          <w:bCs/>
          <w:sz w:val="32"/>
          <w:szCs w:val="32"/>
        </w:rPr>
        <w:t>三、收到和处理政府信息公开申请情</w:t>
      </w:r>
    </w:p>
    <w:tbl>
      <w:tblPr>
        <w:tblStyle w:val="6"/>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4178" w:type="dxa"/>
            <w:gridSpan w:val="2"/>
            <w:tcBorders>
              <w:top w:val="inset" w:color="auto" w:sz="6" w:space="0"/>
              <w:left w:val="nil"/>
              <w:right w:val="single" w:color="auto" w:sz="8" w:space="0"/>
            </w:tcBorders>
            <w:vAlign w:val="center"/>
          </w:tcPr>
          <w:p>
            <w:pPr>
              <w:spacing w:line="480" w:lineRule="exact"/>
              <w:jc w:val="left"/>
              <w:rPr>
                <w:rFonts w:ascii="宋体" w:hAnsi="宋体" w:cs="宋体"/>
                <w:kern w:val="0"/>
                <w:sz w:val="24"/>
              </w:rPr>
            </w:pPr>
            <w:r>
              <w:rPr>
                <w:rFonts w:hint="eastAsia" w:ascii="宋体" w:hAnsi="宋体" w:cs="宋体"/>
                <w:kern w:val="0"/>
                <w:sz w:val="20"/>
                <w:szCs w:val="20"/>
              </w:rPr>
              <w:t>（六）其他处理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rPr>
            </w:pPr>
            <w:r>
              <w:rPr>
                <w:rFonts w:hint="eastAsia"/>
                <w:kern w:val="0"/>
                <w:sz w:val="20"/>
                <w:szCs w:val="20"/>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rPr>
            </w:pPr>
            <w:r>
              <w:rPr>
                <w:kern w:val="0"/>
              </w:rPr>
              <w:t>0</w:t>
            </w:r>
          </w:p>
        </w:tc>
      </w:tr>
    </w:tbl>
    <w:p>
      <w:pPr>
        <w:pStyle w:val="5"/>
        <w:widowControl/>
        <w:snapToGrid w:val="0"/>
        <w:spacing w:beforeAutospacing="0" w:afterAutospacing="0" w:line="360" w:lineRule="auto"/>
        <w:rPr>
          <w:rFonts w:ascii="黑体" w:hAnsi="黑体" w:eastAsia="黑体" w:cs="仿宋"/>
          <w:b/>
          <w:bCs/>
          <w:kern w:val="2"/>
          <w:sz w:val="32"/>
          <w:szCs w:val="32"/>
        </w:rPr>
      </w:pPr>
    </w:p>
    <w:p>
      <w:pPr>
        <w:pStyle w:val="5"/>
        <w:widowControl/>
        <w:snapToGrid w:val="0"/>
        <w:spacing w:beforeAutospacing="0" w:afterAutospacing="0" w:line="360" w:lineRule="auto"/>
        <w:ind w:firstLine="643" w:firstLineChars="200"/>
        <w:rPr>
          <w:rFonts w:ascii="黑体" w:hAnsi="黑体" w:eastAsia="黑体" w:cs="仿宋"/>
          <w:b/>
          <w:bCs/>
          <w:kern w:val="2"/>
          <w:sz w:val="32"/>
          <w:szCs w:val="32"/>
        </w:rPr>
      </w:pPr>
    </w:p>
    <w:p>
      <w:pPr>
        <w:pStyle w:val="5"/>
        <w:widowControl/>
        <w:snapToGrid w:val="0"/>
        <w:spacing w:beforeAutospacing="0" w:afterAutospacing="0" w:line="360" w:lineRule="auto"/>
        <w:ind w:firstLine="643" w:firstLineChars="200"/>
        <w:rPr>
          <w:rFonts w:ascii="黑体" w:hAnsi="黑体" w:eastAsia="黑体" w:cs="仿宋"/>
          <w:b/>
          <w:bCs/>
          <w:kern w:val="2"/>
          <w:sz w:val="32"/>
          <w:szCs w:val="32"/>
        </w:rPr>
      </w:pPr>
      <w:r>
        <w:rPr>
          <w:rFonts w:hint="eastAsia" w:ascii="黑体" w:hAnsi="黑体" w:eastAsia="黑体" w:cs="仿宋"/>
          <w:b/>
          <w:bCs/>
          <w:kern w:val="2"/>
          <w:sz w:val="32"/>
          <w:szCs w:val="32"/>
        </w:rPr>
        <w:t>四、政府信息公开行政复议、行政诉讼情况</w:t>
      </w:r>
    </w:p>
    <w:p>
      <w:pPr>
        <w:pStyle w:val="5"/>
        <w:widowControl/>
        <w:snapToGrid w:val="0"/>
        <w:spacing w:beforeAutospacing="0" w:afterAutospacing="0" w:line="360" w:lineRule="auto"/>
        <w:ind w:firstLine="643" w:firstLineChars="200"/>
        <w:rPr>
          <w:rFonts w:ascii="黑体" w:hAnsi="黑体" w:eastAsia="黑体" w:cs="仿宋"/>
          <w:b/>
          <w:bCs/>
          <w:kern w:val="2"/>
          <w:sz w:val="32"/>
          <w:szCs w:val="32"/>
        </w:rPr>
      </w:pPr>
    </w:p>
    <w:tbl>
      <w:tblPr>
        <w:tblStyle w:val="6"/>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rPr>
            </w:pPr>
            <w:r>
              <w:rPr>
                <w:rFonts w:hint="eastAsia" w:ascii="宋体" w:hAnsi="宋体" w:cs="宋体"/>
                <w:kern w:val="0"/>
              </w:rPr>
              <w:t>0</w:t>
            </w:r>
          </w:p>
        </w:tc>
      </w:tr>
    </w:tbl>
    <w:p>
      <w:pPr>
        <w:pStyle w:val="5"/>
        <w:widowControl/>
        <w:snapToGrid w:val="0"/>
        <w:spacing w:beforeAutospacing="0" w:afterAutospacing="0" w:line="360" w:lineRule="auto"/>
        <w:ind w:firstLine="643" w:firstLineChars="200"/>
        <w:rPr>
          <w:rFonts w:ascii="黑体" w:hAnsi="黑体" w:eastAsia="黑体" w:cs="仿宋"/>
          <w:b/>
          <w:bCs/>
          <w:kern w:val="2"/>
          <w:sz w:val="32"/>
          <w:szCs w:val="32"/>
        </w:rPr>
      </w:pPr>
    </w:p>
    <w:p>
      <w:pPr>
        <w:pStyle w:val="5"/>
        <w:widowControl/>
        <w:snapToGrid w:val="0"/>
        <w:spacing w:beforeAutospacing="0" w:afterAutospacing="0" w:line="360" w:lineRule="auto"/>
        <w:rPr>
          <w:rFonts w:ascii="黑体" w:hAnsi="黑体" w:eastAsia="黑体" w:cs="仿宋"/>
          <w:b/>
          <w:bCs/>
          <w:kern w:val="2"/>
          <w:sz w:val="32"/>
          <w:szCs w:val="32"/>
        </w:rPr>
      </w:pPr>
    </w:p>
    <w:p>
      <w:pPr>
        <w:pStyle w:val="5"/>
        <w:widowControl/>
        <w:snapToGrid w:val="0"/>
        <w:spacing w:beforeAutospacing="0" w:afterAutospacing="0" w:line="360" w:lineRule="auto"/>
        <w:ind w:firstLine="643" w:firstLineChars="200"/>
        <w:rPr>
          <w:rFonts w:ascii="黑体" w:hAnsi="黑体" w:eastAsia="黑体" w:cs="仿宋"/>
          <w:b/>
          <w:bCs/>
          <w:kern w:val="2"/>
          <w:sz w:val="32"/>
          <w:szCs w:val="32"/>
        </w:rPr>
      </w:pPr>
      <w:r>
        <w:rPr>
          <w:rFonts w:hint="eastAsia" w:ascii="黑体" w:hAnsi="黑体" w:eastAsia="黑体" w:cs="仿宋"/>
          <w:b/>
          <w:bCs/>
          <w:kern w:val="2"/>
          <w:sz w:val="32"/>
          <w:szCs w:val="32"/>
        </w:rPr>
        <w:t>五、存在主要问题及改进情况</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hint="eastAsia" w:ascii="仿宋" w:hAnsi="仿宋" w:eastAsia="仿宋" w:cs="仿宋"/>
          <w:bCs/>
          <w:kern w:val="2"/>
          <w:sz w:val="32"/>
          <w:szCs w:val="32"/>
          <w:shd w:val="clear" w:color="auto" w:fill="FFFFFF"/>
        </w:rPr>
        <w:t>2021年我街道政府信息公开工作在上级主管部门的正确领导和悉心指导下做了大量工作，但对照上级要求和群众期待，还存在政务公开标准不够高，公开内容需进一步扩充，公开渠道需进一步拓宽、公开形式需进一步丰富等问题。在今后的工作中需要进一步提高。下一阶段将主要做好以下几方面工作：</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hint="eastAsia" w:ascii="仿宋" w:hAnsi="仿宋" w:eastAsia="仿宋" w:cs="仿宋"/>
          <w:bCs/>
          <w:kern w:val="2"/>
          <w:sz w:val="32"/>
          <w:szCs w:val="32"/>
          <w:shd w:val="clear" w:color="auto" w:fill="FFFFFF"/>
        </w:rPr>
        <w:t>一是提高认识，以公开促进发展。继续强化政府信息公开工作组织领导，充分认识做好政府信息公开工作的重大意义，切实转变思想观念，增强政务公开工作的主动性和自觉性，以政府信息公开服务领导决策、服务中心工作开展、服务人民群众信息需求，着力做到以公开促公正、以公开立公信，维护法治政府、透明政府的良好形象。</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ascii="仿宋" w:hAnsi="仿宋" w:eastAsia="仿宋" w:cs="仿宋"/>
          <w:bCs/>
          <w:kern w:val="2"/>
          <w:sz w:val="32"/>
          <w:szCs w:val="32"/>
          <w:shd w:val="clear" w:color="auto" w:fill="FFFFFF"/>
        </w:rPr>
        <w:t>二是务求实效，以公开回应关切。</w:t>
      </w:r>
      <w:r>
        <w:rPr>
          <w:rFonts w:hint="eastAsia" w:ascii="仿宋" w:hAnsi="仿宋" w:eastAsia="仿宋" w:cs="仿宋"/>
          <w:bCs/>
          <w:kern w:val="2"/>
          <w:sz w:val="32"/>
          <w:szCs w:val="32"/>
          <w:shd w:val="clear" w:color="auto" w:fill="FFFFFF"/>
        </w:rPr>
        <w:t>全面贯彻落实关于推进政务公开工作的实施意见，并按照新条例和省市有关文件精神，制定朝晖街道全面推进政务公开工作的意见的实施细则。进一步深化社会关注的重点领域信息公开，明确民生实事领域政务公开内容，修订完善主动公开目录，确保应公开尽公开。加大对民生热点重点工作、重要决策部署、改革措施的解读力度，及时关注舆情，回应社会关切。</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ascii="仿宋" w:hAnsi="仿宋" w:eastAsia="仿宋" w:cs="仿宋"/>
          <w:bCs/>
          <w:kern w:val="2"/>
          <w:sz w:val="32"/>
          <w:szCs w:val="32"/>
          <w:shd w:val="clear" w:color="auto" w:fill="FFFFFF"/>
        </w:rPr>
        <w:t>三是拓宽渠道，以公开提质效。</w:t>
      </w:r>
      <w:r>
        <w:rPr>
          <w:rFonts w:hint="eastAsia" w:ascii="仿宋" w:hAnsi="仿宋" w:eastAsia="仿宋" w:cs="仿宋"/>
          <w:bCs/>
          <w:kern w:val="2"/>
          <w:sz w:val="32"/>
          <w:szCs w:val="32"/>
          <w:shd w:val="clear" w:color="auto" w:fill="FFFFFF"/>
        </w:rPr>
        <w:t>进一步整合优化县教育局政府信息公开平台，围绕公众关切梳理、整合各类教育信息，优化政府信息相关专题，使群众获取信息更加便捷；加强对“互联网+”、微博、微信等新技术、新媒体的学习和应用，推进互联网和政府信息公开工作的深度融合，运用网络客户端、微博、微信主动及时向社会群众公开热点信息。</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hint="eastAsia" w:ascii="仿宋" w:hAnsi="仿宋" w:eastAsia="仿宋" w:cs="仿宋"/>
          <w:bCs/>
          <w:kern w:val="2"/>
          <w:sz w:val="32"/>
          <w:szCs w:val="32"/>
          <w:shd w:val="clear" w:color="auto" w:fill="FFFFFF"/>
        </w:rPr>
        <w:t>四</w:t>
      </w:r>
      <w:r>
        <w:rPr>
          <w:rFonts w:ascii="仿宋" w:hAnsi="仿宋" w:eastAsia="仿宋" w:cs="仿宋"/>
          <w:bCs/>
          <w:kern w:val="2"/>
          <w:sz w:val="32"/>
          <w:szCs w:val="32"/>
          <w:shd w:val="clear" w:color="auto" w:fill="FFFFFF"/>
        </w:rPr>
        <w:t>是加强审查，确保信息安全。</w:t>
      </w:r>
      <w:r>
        <w:rPr>
          <w:rFonts w:hint="eastAsia" w:ascii="仿宋" w:hAnsi="仿宋" w:eastAsia="仿宋" w:cs="仿宋"/>
          <w:bCs/>
          <w:kern w:val="2"/>
          <w:sz w:val="32"/>
          <w:szCs w:val="32"/>
          <w:shd w:val="clear" w:color="auto" w:fill="FFFFFF"/>
        </w:rPr>
        <w:t>对照政府信息公开的具体要求，认真清理政府信息公开事项，查漏补缺，修订信息公开指南和目录，确保应公开的政府信息全部公开。同时严把质量关、保密审查关，依据有关法律、法规严格审核公开内容。</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hint="eastAsia" w:ascii="仿宋" w:hAnsi="仿宋" w:eastAsia="仿宋" w:cs="仿宋"/>
          <w:bCs/>
          <w:kern w:val="2"/>
          <w:sz w:val="32"/>
          <w:szCs w:val="32"/>
          <w:shd w:val="clear" w:color="auto" w:fill="FFFFFF"/>
        </w:rPr>
        <w:t>五是进一步推进政务公开规范化、标准化、制度化建设。通过开展多层次、多类型的政务公开业务培训，进一步提高管理人员履职能力和水平。继续健全完善有关检查制度、责任追究制度、反馈制度和考核评估制度，以制度规范政府信息和政务公开工作落到实处。</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hint="eastAsia" w:ascii="仿宋" w:hAnsi="仿宋" w:eastAsia="仿宋" w:cs="仿宋"/>
          <w:bCs/>
          <w:kern w:val="2"/>
          <w:sz w:val="32"/>
          <w:szCs w:val="32"/>
          <w:shd w:val="clear" w:color="auto" w:fill="FFFFFF"/>
        </w:rPr>
        <w:t>六是继续做好政务舆情收集、研判、处置、回应和依申请公开受理、审查、处理、答复以及档案备查等工作，以社会需求为导向，扩大公众参与，促进法治政府和服务型政府建设。</w:t>
      </w:r>
    </w:p>
    <w:p>
      <w:pPr>
        <w:pStyle w:val="5"/>
        <w:widowControl/>
        <w:snapToGrid w:val="0"/>
        <w:spacing w:beforeAutospacing="0" w:afterAutospacing="0" w:line="360" w:lineRule="auto"/>
        <w:ind w:firstLine="643" w:firstLineChars="200"/>
        <w:rPr>
          <w:rFonts w:ascii="宋体" w:hAnsi="宋体" w:cs="宋体"/>
          <w:color w:val="333333"/>
        </w:rPr>
      </w:pPr>
      <w:r>
        <w:rPr>
          <w:rFonts w:hint="eastAsia" w:ascii="黑体" w:hAnsi="黑体" w:eastAsia="黑体" w:cs="仿宋"/>
          <w:b/>
          <w:bCs/>
          <w:kern w:val="2"/>
          <w:sz w:val="32"/>
          <w:szCs w:val="32"/>
        </w:rPr>
        <w:t>六、其他需要报告的事项</w:t>
      </w:r>
    </w:p>
    <w:p>
      <w:pPr>
        <w:widowControl/>
        <w:shd w:val="clear" w:color="auto" w:fill="FFFFFF"/>
        <w:ind w:firstLine="480"/>
      </w:pPr>
      <w:r>
        <w:rPr>
          <w:rFonts w:hint="eastAsia" w:ascii="仿宋" w:hAnsi="仿宋" w:eastAsia="仿宋" w:cs="仿宋"/>
          <w:sz w:val="32"/>
          <w:szCs w:val="32"/>
          <w:shd w:val="clear" w:color="auto" w:fill="FFFFFF"/>
        </w:rPr>
        <w:t>2021年，我朝晖街道未收取政府信息公开相关费用。</w:t>
      </w:r>
      <w:r>
        <w:rPr>
          <w:rFonts w:hint="eastAsia" w:ascii="仿宋" w:hAnsi="仿宋" w:eastAsia="仿宋" w:cs="仿宋"/>
          <w:sz w:val="32"/>
          <w:szCs w:val="32"/>
          <w:shd w:val="clear" w:color="auto" w:fill="FFFFFF"/>
        </w:rPr>
        <w:cr/>
      </w:r>
    </w:p>
    <w:sectPr>
      <w:pgSz w:w="11906" w:h="16838"/>
      <w:pgMar w:top="1440" w:right="1800" w:bottom="21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26B4F"/>
    <w:rsid w:val="00012E65"/>
    <w:rsid w:val="000221F1"/>
    <w:rsid w:val="00032CF2"/>
    <w:rsid w:val="000662D2"/>
    <w:rsid w:val="00073DE4"/>
    <w:rsid w:val="000A009B"/>
    <w:rsid w:val="000A61EB"/>
    <w:rsid w:val="000B1EC4"/>
    <w:rsid w:val="000E0090"/>
    <w:rsid w:val="00116E33"/>
    <w:rsid w:val="00127BC3"/>
    <w:rsid w:val="001577B0"/>
    <w:rsid w:val="001967E9"/>
    <w:rsid w:val="001A4A91"/>
    <w:rsid w:val="001A5B8A"/>
    <w:rsid w:val="001B182C"/>
    <w:rsid w:val="001C128B"/>
    <w:rsid w:val="001E3FF4"/>
    <w:rsid w:val="00216643"/>
    <w:rsid w:val="00216814"/>
    <w:rsid w:val="00236EA1"/>
    <w:rsid w:val="0025249E"/>
    <w:rsid w:val="00252F90"/>
    <w:rsid w:val="002A2448"/>
    <w:rsid w:val="002B0BDA"/>
    <w:rsid w:val="002B1CBD"/>
    <w:rsid w:val="002E4A63"/>
    <w:rsid w:val="00303389"/>
    <w:rsid w:val="00356B28"/>
    <w:rsid w:val="00360DA2"/>
    <w:rsid w:val="00376F3E"/>
    <w:rsid w:val="00377A91"/>
    <w:rsid w:val="00381BE9"/>
    <w:rsid w:val="003B198D"/>
    <w:rsid w:val="003D29BB"/>
    <w:rsid w:val="003F1C89"/>
    <w:rsid w:val="00400038"/>
    <w:rsid w:val="00426655"/>
    <w:rsid w:val="00433712"/>
    <w:rsid w:val="00461951"/>
    <w:rsid w:val="00475DF1"/>
    <w:rsid w:val="00480C32"/>
    <w:rsid w:val="00483A85"/>
    <w:rsid w:val="00493CD4"/>
    <w:rsid w:val="004C3981"/>
    <w:rsid w:val="004E5915"/>
    <w:rsid w:val="00551C38"/>
    <w:rsid w:val="00557806"/>
    <w:rsid w:val="0059015F"/>
    <w:rsid w:val="00590BCF"/>
    <w:rsid w:val="005F3297"/>
    <w:rsid w:val="006058D7"/>
    <w:rsid w:val="00691040"/>
    <w:rsid w:val="006964F8"/>
    <w:rsid w:val="006D795C"/>
    <w:rsid w:val="007312E9"/>
    <w:rsid w:val="00734F8A"/>
    <w:rsid w:val="007610F0"/>
    <w:rsid w:val="00770DA8"/>
    <w:rsid w:val="007725E0"/>
    <w:rsid w:val="00777631"/>
    <w:rsid w:val="007C473D"/>
    <w:rsid w:val="007D03F3"/>
    <w:rsid w:val="007E1358"/>
    <w:rsid w:val="007F4115"/>
    <w:rsid w:val="00817949"/>
    <w:rsid w:val="00835A08"/>
    <w:rsid w:val="00836D54"/>
    <w:rsid w:val="00840842"/>
    <w:rsid w:val="008550E0"/>
    <w:rsid w:val="00877E3C"/>
    <w:rsid w:val="00890514"/>
    <w:rsid w:val="00892194"/>
    <w:rsid w:val="008A3571"/>
    <w:rsid w:val="008C5D7F"/>
    <w:rsid w:val="008D7AF0"/>
    <w:rsid w:val="008E37F3"/>
    <w:rsid w:val="008E7E32"/>
    <w:rsid w:val="008F54A7"/>
    <w:rsid w:val="00915B92"/>
    <w:rsid w:val="009264AA"/>
    <w:rsid w:val="00932802"/>
    <w:rsid w:val="00960192"/>
    <w:rsid w:val="00962889"/>
    <w:rsid w:val="0096380B"/>
    <w:rsid w:val="00977E6C"/>
    <w:rsid w:val="0099236A"/>
    <w:rsid w:val="009B0AC3"/>
    <w:rsid w:val="009F5C15"/>
    <w:rsid w:val="00A14CFE"/>
    <w:rsid w:val="00AC15B2"/>
    <w:rsid w:val="00AD0ADF"/>
    <w:rsid w:val="00AD769F"/>
    <w:rsid w:val="00B0469A"/>
    <w:rsid w:val="00B0508B"/>
    <w:rsid w:val="00B37985"/>
    <w:rsid w:val="00B4021C"/>
    <w:rsid w:val="00B40AB9"/>
    <w:rsid w:val="00B440DA"/>
    <w:rsid w:val="00B53233"/>
    <w:rsid w:val="00B77F2C"/>
    <w:rsid w:val="00BB24B9"/>
    <w:rsid w:val="00BE5DF1"/>
    <w:rsid w:val="00C11F52"/>
    <w:rsid w:val="00C26B4F"/>
    <w:rsid w:val="00C40619"/>
    <w:rsid w:val="00C669BB"/>
    <w:rsid w:val="00C81548"/>
    <w:rsid w:val="00CE285C"/>
    <w:rsid w:val="00CF1D44"/>
    <w:rsid w:val="00CF36ED"/>
    <w:rsid w:val="00CF376C"/>
    <w:rsid w:val="00D27477"/>
    <w:rsid w:val="00D468A5"/>
    <w:rsid w:val="00D63F76"/>
    <w:rsid w:val="00D90FB9"/>
    <w:rsid w:val="00D9745C"/>
    <w:rsid w:val="00DB4C00"/>
    <w:rsid w:val="00DC3916"/>
    <w:rsid w:val="00DC69EA"/>
    <w:rsid w:val="00DE65E2"/>
    <w:rsid w:val="00E25DDE"/>
    <w:rsid w:val="00E305A9"/>
    <w:rsid w:val="00E45B92"/>
    <w:rsid w:val="00EE47C6"/>
    <w:rsid w:val="00EF6FC0"/>
    <w:rsid w:val="00F052AC"/>
    <w:rsid w:val="057925BD"/>
    <w:rsid w:val="0C873F03"/>
    <w:rsid w:val="4AD238B6"/>
    <w:rsid w:val="63CE2BBA"/>
    <w:rsid w:val="794701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imes New Roman" w:hAnsi="Times New Roman" w:eastAsia="宋体"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484</Words>
  <Characters>2762</Characters>
  <Lines>23</Lines>
  <Paragraphs>6</Paragraphs>
  <TotalTime>1</TotalTime>
  <ScaleCrop>false</ScaleCrop>
  <LinksUpToDate>false</LinksUpToDate>
  <CharactersWithSpaces>3240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2020-02-12T08:11:00Z</dcterms:created>
  <dc:creator>郑贵锋</dc:creator>
  <cp:lastModifiedBy>会</cp:lastModifiedBy>
  <dcterms:modified xsi:type="dcterms:W3CDTF">2022-01-27T02:36:09Z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82EEAB8D60454A4082B336A07692E57D</vt:lpwstr>
  </property>
</Properties>
</file>