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2020年政府信息公开工作年度报告</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（杭州市拱墅区）</w:t>
      </w:r>
    </w:p>
    <w:p>
      <w:pPr>
        <w:widowControl/>
        <w:shd w:val="clear" w:color="auto" w:fill="FFFFFF"/>
        <w:ind w:firstLine="480"/>
        <w:rPr>
          <w:rFonts w:ascii="宋体" w:hAnsi="宋体" w:eastAsia="宋体" w:cs="宋体"/>
          <w:color w:val="333333"/>
          <w:kern w:val="0"/>
          <w:sz w:val="24"/>
          <w:szCs w:val="24"/>
        </w:rPr>
      </w:pPr>
    </w:p>
    <w:p>
      <w:pPr>
        <w:widowControl/>
        <w:numPr>
          <w:ilvl w:val="0"/>
          <w:numId w:val="1"/>
        </w:numPr>
        <w:shd w:val="clear" w:color="auto" w:fill="FFFFFF"/>
        <w:ind w:firstLine="481" w:firstLineChars="20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shd w:val="clear" w:color="auto" w:fill="FFFFFF"/>
        <w:spacing w:after="160"/>
        <w:ind w:firstLine="480" w:firstLineChars="200"/>
        <w:rPr>
          <w:rFonts w:ascii="宋体" w:hAnsi="宋体" w:eastAsia="宋体" w:cs="宋体"/>
          <w:color w:val="333333"/>
          <w:kern w:val="0"/>
          <w:sz w:val="24"/>
          <w:szCs w:val="24"/>
        </w:rPr>
      </w:pPr>
      <w:r>
        <w:rPr>
          <w:rFonts w:hint="eastAsia" w:ascii="宋体" w:hAnsi="宋体" w:eastAsia="宋体" w:cs="宋体"/>
          <w:kern w:val="0"/>
          <w:sz w:val="24"/>
          <w:szCs w:val="24"/>
        </w:rPr>
        <w:t>2020年，拱墅区政务公开工作以习近平新时代中国特色社会主义思想为指导，</w:t>
      </w:r>
      <w:r>
        <w:rPr>
          <w:rFonts w:hint="eastAsia" w:ascii="宋体" w:hAnsi="宋体" w:eastAsia="宋体" w:cs="宋体"/>
          <w:color w:val="333333"/>
          <w:kern w:val="0"/>
          <w:sz w:val="24"/>
          <w:szCs w:val="24"/>
        </w:rPr>
        <w:t>根据《中华人民共和国政府信息公开条例》以及《国务院办公厅关于印发2020年政务公开工作要点的通知》（国办发〔2020〕17号）、《浙江省人民政府办公厅关于印发2020年浙江省政务公开工作要点的通知》（浙政办发〔2020〕20号）、《杭州市人民政府办公厅关于印发2020年杭州市政务公开工作要点的通知》（杭政办函〔2020〕21号）要求编制而成。本年报由总体情况、行政机关主动公开政府信息情况、行政机关收到和处理政府信息公开申请情况、因政府信息公开工作被申请行政复议及提起行政诉讼情况、政府信息公开工作存在的主要问题及改进情况概述、其他需要报告的事项等六个部分组成。本年度报告中所列数据的统计期限从2020年1月1日到12月31日止。</w:t>
      </w:r>
    </w:p>
    <w:p>
      <w:pPr>
        <w:widowControl/>
        <w:shd w:val="clear" w:color="auto" w:fill="FFFFFF"/>
        <w:spacing w:after="160"/>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一）主动公开方面。依托区门户网站政务公开栏目主阵地，定期梳理和公开各类政府信息。全领域推进政务公开标准目录编制，在2017-2018年9个领域试点的基础上，对照国务院各部门制定的试点领域标准指引，结合本级政府权责清单和公共服务事项清单，全面梳理细化相关领域政务公开事项，完成23个试点领域目录编制。围绕企业和人民群众关心的经济民生问题，集中公开经济发展、企业扶持、就业帮扶等方面重点信息。建立重大项目全生命周期公开专题，汇集2018年以来全区所有重大建设项目，全面公开从项目立项到交付投用各个环节的重点信息。</w:t>
      </w:r>
    </w:p>
    <w:p>
      <w:pPr>
        <w:keepNext w:val="0"/>
        <w:keepLines w:val="0"/>
        <w:widowControl/>
        <w:suppressLineNumbers w:val="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依申请公开方面。规范政府信息公开申请办理工作，建立健全登记、审核、会商、办理、答复、归档等工作制度。涉及到征地拆迁引发的政府信息依申请公开，探索建立与申请人沟通协调、相关部门联合会商和法律顾问严格把关制度，确保在充分保障人民群众知情权、参与权和监督权，提升依申请公开服务企业和群众作用的同时，最大程度降低政府信息依申请公开答复被行政复议、行政诉讼风险。全区共受理依申请公开149件,其中本年新收143件，上年结转6件，结转至下年办理5件。</w:t>
      </w:r>
      <w:r>
        <w:rPr>
          <w:rFonts w:hint="eastAsia" w:ascii="宋体" w:hAnsi="宋体" w:eastAsia="宋体" w:cs="宋体"/>
          <w:color w:val="333333"/>
          <w:kern w:val="0"/>
          <w:sz w:val="24"/>
          <w:szCs w:val="24"/>
          <w:lang w:val="en-US" w:eastAsia="zh-CN"/>
        </w:rPr>
        <w:t>2020年我区因政府信息公开工作被申请行政复议8件、提起行政诉讼2件。</w:t>
      </w:r>
    </w:p>
    <w:p>
      <w:pPr>
        <w:widowControl/>
        <w:shd w:val="clear" w:color="auto" w:fill="FFFFFF"/>
        <w:spacing w:after="160"/>
        <w:ind w:firstLine="480" w:firstLineChars="200"/>
        <w:rPr>
          <w:rFonts w:ascii="宋体" w:hAnsi="宋体" w:eastAsia="宋体" w:cs="宋体"/>
          <w:color w:val="333333"/>
          <w:kern w:val="0"/>
          <w:sz w:val="24"/>
          <w:szCs w:val="24"/>
        </w:rPr>
      </w:pPr>
    </w:p>
    <w:p>
      <w:pPr>
        <w:widowControl/>
        <w:shd w:val="clear" w:color="auto" w:fill="FFFFFF"/>
        <w:spacing w:after="160"/>
        <w:ind w:firstLine="480" w:firstLineChars="200"/>
        <w:rPr>
          <w:rFonts w:ascii="宋体" w:hAnsi="宋体" w:eastAsia="宋体" w:cs="宋体"/>
          <w:sz w:val="24"/>
          <w:szCs w:val="24"/>
        </w:rPr>
      </w:pPr>
      <w:r>
        <w:rPr>
          <w:rFonts w:hint="eastAsia" w:ascii="宋体" w:hAnsi="宋体" w:eastAsia="宋体" w:cs="宋体"/>
          <w:color w:val="333333"/>
          <w:kern w:val="0"/>
          <w:sz w:val="24"/>
          <w:szCs w:val="24"/>
        </w:rPr>
        <w:t>（三）平台建设方面。高标准推进政府信息公开专区建设，线下打造拱墅区行政服务中心政务公开专区，线上打造网站、微博微信等多种公开渠道，深度融合政务服务，全区政务公开事项一网集成。建立门户网站政府信息公开专栏，归集区本级和全区23个部门、5个区直属单位、10个街道的政务公开指南、公开制度、法定公开内容、政府信息公开年报等重点公开内容。建立基层政务公开标准化规范化工作专题专栏，梳理并集中展示社区居务公开目录、政府开放日专题和公共突发事件专栏内容。统一规范设置区政府信息公开专栏，基层政务公开专区完善了统一标识、统一功能、统一管理的政府信息查阅、信息公开申请、办事咨询答复等服务。编制1776项政务服务事项清单及办事服务指南，通过线上线下全面准确的公开办事相关内容。</w:t>
      </w:r>
    </w:p>
    <w:p>
      <w:pPr>
        <w:widowControl/>
        <w:shd w:val="clear" w:color="auto" w:fill="FFFFFF"/>
        <w:spacing w:after="160"/>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四）政策解读和回应关切方面。2020年疫情防控期间企业帮扶政策等重要规范性文件由区主要领导和相关部门主要负责人亲自解读。建立“政府开放日”制度，制定《拱墅区“政府开放日”活动实施方案》，明确工作流程、开展方式。各政府部门、街道每年定期开展“政府开放日亟公民走进机关”活动，活动情况以专题形式进行公开。全区回应关切公众关切420次，其中新闻发布会2场、意见征求38次、民意反馈73条。公开人大建议办理情况138件、政协提案办理情况169件。依托企业服务办公室建立“亲清D小二”工作室，组建93人“D小二”队伍，月均服务企业1400余次。</w:t>
      </w: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五）政府信息管理。高质量完成政务公开网站改版升级。充分发挥政府网站作为政府信息公开第一平台载体作用，对政务公开网站进行全面改版升级，设置“政府信息公开指南”“政府信息公开制度”“法定主动公开内容”“政府信息公开工作年度报告”等栏目，并根据每个单位不同情况，点对点进行各单位公开栏目设置，督促各责任部门常态化做好信息发布工作。</w:t>
      </w:r>
    </w:p>
    <w:p>
      <w:pPr>
        <w:widowControl/>
        <w:shd w:val="clear" w:color="auto" w:fill="FFFFFF"/>
        <w:ind w:firstLine="480" w:firstLineChars="200"/>
        <w:rPr>
          <w:rFonts w:ascii="宋体" w:hAnsi="宋体" w:eastAsia="宋体" w:cs="宋体"/>
          <w:color w:val="333333"/>
          <w:kern w:val="0"/>
          <w:sz w:val="24"/>
          <w:szCs w:val="24"/>
        </w:rPr>
      </w:pP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六）监督保障方面。完善政府信息公开工作的监督考核、社会评议和责任追究工作。继续通过门户网站开展政府信息公开社会评议工作，为工作整改提供依据。定期做好检查整改，建立全区政务公开栏目定期抽查机制，每月进行一次以上抽查。对全区各政务公开部门进行培训。对外公布政府信息公开投诉举报电话，全年收到相关投诉举报1件。2020年，共有3家单位涉及考核扣分，无政府信息责任追究情况。</w:t>
      </w:r>
    </w:p>
    <w:p>
      <w:pPr>
        <w:widowControl/>
        <w:shd w:val="clear" w:color="auto" w:fill="FFFFFF"/>
        <w:ind w:firstLine="480" w:firstLineChars="200"/>
        <w:rPr>
          <w:rFonts w:ascii="宋体" w:hAnsi="宋体" w:eastAsia="宋体" w:cs="宋体"/>
          <w:color w:val="333333"/>
          <w:kern w:val="0"/>
          <w:sz w:val="24"/>
          <w:szCs w:val="24"/>
        </w:rPr>
      </w:pPr>
    </w:p>
    <w:p>
      <w:pPr>
        <w:widowControl/>
        <w:numPr>
          <w:ilvl w:val="0"/>
          <w:numId w:val="1"/>
        </w:numPr>
        <w:shd w:val="clear" w:color="auto" w:fill="FFFFFF"/>
        <w:ind w:firstLine="481" w:firstLineChars="20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主动公开政府信息情况</w:t>
      </w:r>
    </w:p>
    <w:p>
      <w:pPr>
        <w:widowControl/>
        <w:shd w:val="clear" w:color="auto" w:fill="FFFFFF"/>
        <w:ind w:left="420" w:leftChars="200"/>
        <w:rPr>
          <w:rFonts w:ascii="宋体" w:hAnsi="宋体" w:eastAsia="宋体" w:cs="宋体"/>
          <w:b/>
          <w:bCs/>
          <w:color w:val="333333"/>
          <w:kern w:val="0"/>
          <w:sz w:val="24"/>
          <w:szCs w:val="24"/>
        </w:rPr>
      </w:pP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color w:val="000000"/>
                <w:kern w:val="0"/>
                <w:szCs w:val="21"/>
              </w:rPr>
            </w:pPr>
            <w:r>
              <w:rPr>
                <w:rFonts w:hint="eastAsia" w:ascii="Calibri" w:hAnsi="Calibri" w:eastAsia="宋体" w:cs="Calibri"/>
                <w:color w:val="000000"/>
                <w:kern w:val="0"/>
                <w:szCs w:val="21"/>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color w:val="000000"/>
                <w:kern w:val="0"/>
                <w:szCs w:val="21"/>
              </w:rPr>
            </w:pPr>
            <w:r>
              <w:rPr>
                <w:rFonts w:hint="eastAsia" w:ascii="Calibri" w:hAnsi="Calibri" w:eastAsia="宋体" w:cs="Calibri"/>
                <w:color w:val="000000"/>
                <w:kern w:val="0"/>
                <w:szCs w:val="21"/>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840" w:firstLineChars="400"/>
              <w:rPr>
                <w:rFonts w:ascii="Calibri" w:hAnsi="Calibri" w:eastAsia="宋体" w:cs="Calibri"/>
                <w:color w:val="000000"/>
                <w:kern w:val="0"/>
                <w:szCs w:val="21"/>
              </w:rPr>
            </w:pPr>
            <w:r>
              <w:rPr>
                <w:rFonts w:hint="eastAsia" w:ascii="Calibri" w:hAnsi="Calibri" w:eastAsia="宋体" w:cs="Calibri"/>
                <w:color w:val="000000"/>
                <w:kern w:val="0"/>
                <w:szCs w:val="21"/>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color w:val="000000"/>
                <w:kern w:val="0"/>
                <w:szCs w:val="21"/>
              </w:rPr>
            </w:pPr>
            <w:r>
              <w:rPr>
                <w:rFonts w:hint="eastAsia" w:ascii="Calibri" w:hAnsi="Calibri" w:eastAsia="宋体" w:cs="Calibri"/>
                <w:color w:val="000000"/>
                <w:kern w:val="0"/>
                <w:szCs w:val="21"/>
              </w:rPr>
              <w:t>18</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color w:val="000000"/>
                <w:kern w:val="0"/>
                <w:szCs w:val="21"/>
              </w:rPr>
            </w:pPr>
            <w:r>
              <w:rPr>
                <w:rFonts w:hint="eastAsia" w:ascii="Calibri" w:hAnsi="Calibri" w:eastAsia="宋体" w:cs="Calibri"/>
                <w:color w:val="000000"/>
                <w:kern w:val="0"/>
                <w:szCs w:val="21"/>
              </w:rPr>
              <w:t> 18</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color w:val="000000"/>
                <w:kern w:val="0"/>
                <w:szCs w:val="21"/>
              </w:rPr>
            </w:pPr>
            <w:r>
              <w:rPr>
                <w:rFonts w:hint="eastAsia" w:ascii="Calibri" w:hAnsi="Calibri" w:eastAsia="宋体" w:cs="Calibri"/>
                <w:color w:val="000000"/>
                <w:kern w:val="0"/>
                <w:szCs w:val="21"/>
              </w:rPr>
              <w:t>106</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876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-51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8417</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630" w:firstLineChars="300"/>
              <w:rPr>
                <w:rFonts w:ascii="Calibri" w:hAnsi="Calibri" w:eastAsia="宋体" w:cs="Calibri"/>
                <w:kern w:val="0"/>
                <w:szCs w:val="21"/>
              </w:rPr>
            </w:pPr>
            <w:r>
              <w:rPr>
                <w:rFonts w:ascii="Calibri" w:hAnsi="Calibri" w:eastAsia="宋体" w:cs="Calibri"/>
                <w:kern w:val="0"/>
                <w:szCs w:val="21"/>
              </w:rPr>
              <w:t>261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55</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128724</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908</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97</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3726</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25</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14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398</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16</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color w:val="000000"/>
                <w:kern w:val="0"/>
                <w:szCs w:val="21"/>
              </w:rPr>
              <w:t>1</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Calibri" w:hAnsi="Calibri" w:eastAsia="宋体" w:cs="Calibri"/>
                <w:kern w:val="0"/>
                <w:sz w:val="24"/>
                <w:szCs w:val="24"/>
              </w:rPr>
            </w:pPr>
            <w:r>
              <w:rPr>
                <w:rFonts w:ascii="Calibri" w:hAnsi="Calibri" w:eastAsia="微软雅黑" w:cs="Calibri"/>
                <w:color w:val="111F2C"/>
                <w:szCs w:val="21"/>
                <w:shd w:val="clear" w:color="auto" w:fill="FFFFFF"/>
              </w:rPr>
              <w:t>3018</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Calibri" w:hAnsi="Calibri" w:eastAsia="宋体" w:cs="Calibri"/>
                <w:kern w:val="0"/>
                <w:sz w:val="24"/>
                <w:szCs w:val="24"/>
              </w:rPr>
            </w:pPr>
            <w:r>
              <w:rPr>
                <w:rFonts w:ascii="Calibri" w:hAnsi="Calibri" w:eastAsia="微软雅黑" w:cs="Calibri"/>
                <w:color w:val="111F2C"/>
                <w:szCs w:val="21"/>
                <w:shd w:val="clear" w:color="auto" w:fill="FFFFFF"/>
              </w:rPr>
              <w:t>24685.24</w:t>
            </w:r>
            <w:r>
              <w:rPr>
                <w:rFonts w:hint="eastAsia" w:ascii="宋体" w:hAnsi="宋体" w:eastAsia="宋体" w:cs="宋体"/>
                <w:color w:val="111F2C"/>
                <w:sz w:val="20"/>
                <w:szCs w:val="20"/>
                <w:shd w:val="clear" w:color="auto" w:fill="FFFFFF"/>
              </w:rPr>
              <w:t>万元</w:t>
            </w:r>
          </w:p>
        </w:tc>
      </w:tr>
    </w:tbl>
    <w:p>
      <w:pPr>
        <w:widowControl/>
        <w:shd w:val="clear" w:color="auto" w:fill="FFFFFF"/>
        <w:ind w:firstLine="481" w:firstLineChars="200"/>
        <w:rPr>
          <w:rFonts w:ascii="宋体" w:hAnsi="宋体" w:eastAsia="宋体" w:cs="宋体"/>
          <w:b/>
          <w:bCs/>
          <w:color w:val="333333"/>
          <w:kern w:val="0"/>
          <w:sz w:val="24"/>
          <w:szCs w:val="24"/>
        </w:rPr>
      </w:pPr>
    </w:p>
    <w:p>
      <w:pPr>
        <w:widowControl/>
        <w:numPr>
          <w:ilvl w:val="0"/>
          <w:numId w:val="1"/>
        </w:numPr>
        <w:shd w:val="clear" w:color="auto" w:fill="FFFFFF"/>
        <w:ind w:firstLine="481" w:firstLineChars="20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收到和处理政府信息公开申请情况</w:t>
      </w:r>
    </w:p>
    <w:p>
      <w:pPr>
        <w:widowControl/>
        <w:shd w:val="clear" w:color="auto" w:fill="FFFFFF"/>
        <w:ind w:left="420" w:leftChars="200"/>
        <w:rPr>
          <w:rFonts w:ascii="宋体" w:hAnsi="宋体" w:eastAsia="宋体" w:cs="宋体"/>
          <w:b/>
          <w:bCs/>
          <w:color w:val="333333"/>
          <w:kern w:val="0"/>
          <w:sz w:val="24"/>
          <w:szCs w:val="24"/>
        </w:rPr>
      </w:pPr>
    </w:p>
    <w:tbl>
      <w:tblPr>
        <w:tblStyle w:val="5"/>
        <w:tblW w:w="9071" w:type="dxa"/>
        <w:jc w:val="center"/>
        <w:tblLayout w:type="autofit"/>
        <w:tblCellMar>
          <w:top w:w="0" w:type="dxa"/>
          <w:left w:w="0" w:type="dxa"/>
          <w:bottom w:w="0" w:type="dxa"/>
          <w:right w:w="0" w:type="dxa"/>
        </w:tblCellMar>
      </w:tblPr>
      <w:tblGrid>
        <w:gridCol w:w="616"/>
        <w:gridCol w:w="854"/>
        <w:gridCol w:w="2082"/>
        <w:gridCol w:w="818"/>
        <w:gridCol w:w="754"/>
        <w:gridCol w:w="754"/>
        <w:gridCol w:w="812"/>
        <w:gridCol w:w="972"/>
        <w:gridCol w:w="710"/>
        <w:gridCol w:w="699"/>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132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8</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143</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6</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6</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49</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2</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53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6</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5</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38</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42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16</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17</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13</w:t>
            </w:r>
            <w:r>
              <w:rPr>
                <w:rFonts w:hint="eastAsia" w:ascii="Calibri" w:hAnsi="Calibri" w:eastAsia="宋体" w:cs="Calibri"/>
                <w:kern w:val="0"/>
                <w:szCs w:val="21"/>
              </w:rPr>
              <w:t>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8</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14</w:t>
            </w:r>
            <w:r>
              <w:rPr>
                <w:rFonts w:hint="eastAsia" w:ascii="Calibri" w:hAnsi="Calibri" w:eastAsia="宋体" w:cs="Calibri"/>
                <w:kern w:val="0"/>
                <w:szCs w:val="21"/>
              </w:rPr>
              <w:t>4</w:t>
            </w:r>
          </w:p>
        </w:tc>
      </w:tr>
      <w:tr>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5</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Cs w:val="21"/>
              </w:rPr>
              <w:t>5</w:t>
            </w:r>
          </w:p>
        </w:tc>
      </w:tr>
    </w:tbl>
    <w:p>
      <w:pPr>
        <w:widowControl/>
        <w:shd w:val="clear" w:color="auto" w:fill="FFFFFF"/>
        <w:ind w:firstLine="480"/>
        <w:rPr>
          <w:rFonts w:ascii="宋体" w:hAnsi="宋体" w:eastAsia="宋体" w:cs="宋体"/>
          <w:color w:val="333333"/>
          <w:kern w:val="0"/>
          <w:sz w:val="24"/>
          <w:szCs w:val="24"/>
        </w:rPr>
      </w:pPr>
    </w:p>
    <w:p>
      <w:pPr>
        <w:widowControl/>
        <w:numPr>
          <w:ilvl w:val="0"/>
          <w:numId w:val="1"/>
        </w:numPr>
        <w:shd w:val="clear" w:color="auto" w:fill="FFFFFF"/>
        <w:ind w:firstLine="481" w:firstLineChars="20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3</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1</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4</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8</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2</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Calibri" w:hAnsi="Calibri" w:eastAsia="宋体" w:cs="Calibri"/>
                <w:kern w:val="0"/>
                <w:szCs w:val="21"/>
              </w:rPr>
              <w:t>0</w:t>
            </w:r>
          </w:p>
        </w:tc>
      </w:tr>
    </w:tbl>
    <w:p>
      <w:pPr>
        <w:widowControl/>
        <w:shd w:val="clear" w:color="auto" w:fill="FFFFFF"/>
        <w:jc w:val="center"/>
        <w:rPr>
          <w:rFonts w:ascii="宋体" w:hAnsi="宋体" w:eastAsia="宋体" w:cs="宋体"/>
          <w:color w:val="333333"/>
          <w:kern w:val="0"/>
          <w:sz w:val="24"/>
          <w:szCs w:val="24"/>
        </w:rPr>
      </w:pPr>
    </w:p>
    <w:p>
      <w:pPr>
        <w:widowControl/>
        <w:numPr>
          <w:ilvl w:val="0"/>
          <w:numId w:val="1"/>
        </w:numPr>
        <w:shd w:val="clear" w:color="auto" w:fill="FFFFFF"/>
        <w:ind w:firstLine="481" w:firstLineChars="20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存在的主要问题及改进情况</w:t>
      </w:r>
    </w:p>
    <w:p>
      <w:pPr>
        <w:widowControl/>
        <w:shd w:val="clear" w:color="auto" w:fill="FFFFFF"/>
        <w:ind w:firstLine="480" w:firstLineChars="200"/>
        <w:rPr>
          <w:rFonts w:ascii="宋体" w:hAnsi="宋体" w:eastAsia="宋体" w:cs="宋体"/>
          <w:kern w:val="0"/>
          <w:sz w:val="24"/>
          <w:szCs w:val="24"/>
        </w:rPr>
      </w:pPr>
      <w:r>
        <w:rPr>
          <w:rFonts w:hint="eastAsia" w:ascii="宋体" w:hAnsi="宋体" w:eastAsia="宋体" w:cs="宋体"/>
          <w:kern w:val="0"/>
          <w:sz w:val="24"/>
          <w:szCs w:val="24"/>
        </w:rPr>
        <w:t>2020年，全区政府信息公开工作取得一定的成效，但仍存在一些不足，如政府信息公开工作协调机制有待进一步完善；公开的形式要进一步丰富；主动公开的信息的深度、广度需进一步拓展。</w:t>
      </w:r>
    </w:p>
    <w:p>
      <w:pPr>
        <w:widowControl/>
        <w:shd w:val="clear" w:color="auto" w:fill="FFFFFF"/>
        <w:ind w:firstLine="480" w:firstLineChars="200"/>
        <w:rPr>
          <w:rFonts w:ascii="宋体" w:hAnsi="宋体" w:eastAsia="宋体" w:cs="宋体"/>
          <w:kern w:val="0"/>
          <w:sz w:val="24"/>
          <w:szCs w:val="24"/>
        </w:rPr>
      </w:pPr>
      <w:r>
        <w:rPr>
          <w:rFonts w:hint="eastAsia" w:ascii="宋体" w:hAnsi="宋体" w:eastAsia="宋体" w:cs="宋体"/>
          <w:kern w:val="0"/>
          <w:sz w:val="24"/>
          <w:szCs w:val="24"/>
        </w:rPr>
        <w:t>2021年，拱墅区将切实落实国务院、省政府、市政府对政务公开工作的要求，深入推进政务公开工作。</w:t>
      </w:r>
    </w:p>
    <w:p>
      <w:pPr>
        <w:widowControl/>
        <w:shd w:val="clear" w:color="auto" w:fill="FFFFFF"/>
        <w:ind w:firstLine="481" w:firstLineChars="200"/>
        <w:rPr>
          <w:rFonts w:ascii="宋体" w:hAnsi="宋体" w:eastAsia="宋体" w:cs="宋体"/>
          <w:kern w:val="0"/>
          <w:sz w:val="24"/>
          <w:szCs w:val="24"/>
        </w:rPr>
      </w:pPr>
      <w:r>
        <w:rPr>
          <w:rFonts w:hint="eastAsia" w:ascii="宋体" w:hAnsi="宋体" w:eastAsia="宋体" w:cs="宋体"/>
          <w:b/>
          <w:bCs/>
          <w:kern w:val="0"/>
          <w:sz w:val="24"/>
          <w:szCs w:val="24"/>
        </w:rPr>
        <w:t>一是健全工作机制，加强组织协调。</w:t>
      </w:r>
      <w:r>
        <w:rPr>
          <w:rFonts w:hint="eastAsia" w:ascii="宋体" w:hAnsi="宋体" w:eastAsia="宋体" w:cs="宋体"/>
          <w:kern w:val="0"/>
          <w:sz w:val="24"/>
          <w:szCs w:val="24"/>
        </w:rPr>
        <w:t>进一步理顺和完善政府信息公开工作机制，优化全区政务公开工作的顶层设计和协调推进。同时，通过工作机制的完善，强化政务公开工作的理念，充分认识新形势下做好政务公开工作的重要意义。</w:t>
      </w:r>
    </w:p>
    <w:p>
      <w:pPr>
        <w:widowControl/>
        <w:shd w:val="clear" w:color="auto" w:fill="FFFFFF"/>
        <w:ind w:firstLine="481" w:firstLineChars="200"/>
        <w:rPr>
          <w:rFonts w:ascii="宋体" w:hAnsi="宋体" w:eastAsia="宋体" w:cs="宋体"/>
          <w:kern w:val="0"/>
          <w:sz w:val="24"/>
          <w:szCs w:val="24"/>
        </w:rPr>
      </w:pPr>
      <w:r>
        <w:rPr>
          <w:rFonts w:hint="eastAsia" w:ascii="宋体" w:hAnsi="宋体" w:eastAsia="宋体" w:cs="宋体"/>
          <w:b/>
          <w:bCs/>
          <w:kern w:val="0"/>
          <w:sz w:val="24"/>
          <w:szCs w:val="24"/>
        </w:rPr>
        <w:t>二是持续丰富政务公开内容形式。</w:t>
      </w:r>
      <w:r>
        <w:rPr>
          <w:rFonts w:hint="eastAsia" w:ascii="宋体" w:hAnsi="宋体" w:eastAsia="宋体" w:cs="宋体"/>
          <w:kern w:val="0"/>
          <w:sz w:val="24"/>
          <w:szCs w:val="24"/>
        </w:rPr>
        <w:t>认真落实国家、杭州市年度政务公开工作要点，加强政务公开的平台建设，学习借鉴其他地区先进经验，推动各部门在主动公开、政策解读、公众参与等方面不断探索，将创新意识渗透到政务公开工作中，力求政务公开的内容更加贴近群众、渠道更加方便快捷。</w:t>
      </w:r>
    </w:p>
    <w:p>
      <w:pPr>
        <w:widowControl/>
        <w:shd w:val="clear" w:color="auto" w:fill="FFFFFF"/>
        <w:ind w:firstLine="481" w:firstLineChars="200"/>
        <w:rPr>
          <w:rFonts w:ascii="宋体" w:hAnsi="宋体" w:eastAsia="宋体" w:cs="宋体"/>
          <w:kern w:val="0"/>
          <w:sz w:val="24"/>
          <w:szCs w:val="24"/>
        </w:rPr>
      </w:pPr>
      <w:r>
        <w:rPr>
          <w:rFonts w:hint="eastAsia" w:ascii="宋体" w:hAnsi="宋体" w:eastAsia="宋体" w:cs="宋体"/>
          <w:b/>
          <w:bCs/>
          <w:kern w:val="0"/>
          <w:sz w:val="24"/>
          <w:szCs w:val="24"/>
        </w:rPr>
        <w:t>三是完善依申请公开与主动公开的协同转化机制。</w:t>
      </w:r>
      <w:r>
        <w:rPr>
          <w:rFonts w:hint="eastAsia" w:ascii="宋体" w:hAnsi="宋体" w:eastAsia="宋体" w:cs="宋体"/>
          <w:kern w:val="0"/>
          <w:sz w:val="24"/>
          <w:szCs w:val="24"/>
        </w:rPr>
        <w:t>对申请量大、重复性高、涉及范围广或需要社会广泛知晓的依申请公开件在作出答复的同时通过主动公开渠道予以公开。</w:t>
      </w:r>
    </w:p>
    <w:p>
      <w:pPr>
        <w:widowControl/>
        <w:shd w:val="clear" w:color="auto" w:fill="FFFFFF"/>
        <w:ind w:firstLine="481" w:firstLineChars="200"/>
        <w:rPr>
          <w:rFonts w:ascii="宋体" w:hAnsi="宋体" w:eastAsia="宋体" w:cs="宋体"/>
          <w:kern w:val="0"/>
          <w:sz w:val="24"/>
          <w:szCs w:val="24"/>
        </w:rPr>
      </w:pPr>
      <w:r>
        <w:rPr>
          <w:rFonts w:hint="eastAsia" w:ascii="宋体" w:hAnsi="宋体" w:eastAsia="宋体" w:cs="宋体"/>
          <w:b/>
          <w:bCs/>
          <w:kern w:val="0"/>
          <w:sz w:val="24"/>
          <w:szCs w:val="24"/>
        </w:rPr>
        <w:t>四是整合政府门户网站，提升政务公开平台专业水平。</w:t>
      </w:r>
      <w:r>
        <w:rPr>
          <w:rFonts w:hint="eastAsia" w:ascii="宋体" w:hAnsi="宋体" w:eastAsia="宋体" w:cs="宋体"/>
          <w:kern w:val="0"/>
          <w:sz w:val="24"/>
          <w:szCs w:val="24"/>
        </w:rPr>
        <w:t>以政府门户网站集约化建设为契机，对全区政务公开平台进一步优化整合提升。对照基层政务公开标准化规范化建设任务，加快政务公开平台优化提升，满足标准化规范化建设要求。</w:t>
      </w:r>
    </w:p>
    <w:p>
      <w:pPr>
        <w:widowControl/>
        <w:shd w:val="clear" w:color="auto" w:fill="FFFFFF"/>
        <w:ind w:firstLine="480" w:firstLineChars="200"/>
        <w:rPr>
          <w:rFonts w:ascii="宋体" w:hAnsi="宋体" w:eastAsia="宋体" w:cs="宋体"/>
          <w:kern w:val="0"/>
          <w:sz w:val="24"/>
          <w:szCs w:val="24"/>
        </w:rPr>
      </w:pPr>
    </w:p>
    <w:p>
      <w:pPr>
        <w:widowControl/>
        <w:numPr>
          <w:ilvl w:val="0"/>
          <w:numId w:val="2"/>
        </w:numPr>
        <w:shd w:val="clear" w:color="auto" w:fill="FFFFFF"/>
        <w:ind w:firstLine="48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其他需要报告的事项</w:t>
      </w:r>
    </w:p>
    <w:p>
      <w:pPr>
        <w:widowControl/>
        <w:shd w:val="clear" w:color="auto" w:fill="FFFFFF"/>
        <w:ind w:firstLine="210" w:firstLineChars="100"/>
      </w:pPr>
    </w:p>
    <w:p>
      <w:pPr>
        <w:widowControl/>
        <w:shd w:val="clear" w:color="auto" w:fill="FFFFFF"/>
        <w:spacing w:after="240"/>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2020年我区未收取政府信息公开费用。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060DB"/>
    <w:multiLevelType w:val="singleLevel"/>
    <w:tmpl w:val="23D060DB"/>
    <w:lvl w:ilvl="0" w:tentative="0">
      <w:start w:val="6"/>
      <w:numFmt w:val="chineseCounting"/>
      <w:suff w:val="nothing"/>
      <w:lvlText w:val="%1、"/>
      <w:lvlJc w:val="left"/>
      <w:rPr>
        <w:rFonts w:hint="eastAsia"/>
      </w:rPr>
    </w:lvl>
  </w:abstractNum>
  <w:abstractNum w:abstractNumId="1">
    <w:nsid w:val="67CDD037"/>
    <w:multiLevelType w:val="singleLevel"/>
    <w:tmpl w:val="67CDD03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3F14"/>
    <w:rsid w:val="00073F14"/>
    <w:rsid w:val="00160771"/>
    <w:rsid w:val="001A55BB"/>
    <w:rsid w:val="002541F8"/>
    <w:rsid w:val="0049178A"/>
    <w:rsid w:val="00632381"/>
    <w:rsid w:val="00704785"/>
    <w:rsid w:val="00797747"/>
    <w:rsid w:val="009D4668"/>
    <w:rsid w:val="00A441DB"/>
    <w:rsid w:val="00AC1994"/>
    <w:rsid w:val="00B03652"/>
    <w:rsid w:val="00B935AC"/>
    <w:rsid w:val="00C60086"/>
    <w:rsid w:val="00C9767E"/>
    <w:rsid w:val="00CB7504"/>
    <w:rsid w:val="00D86F0D"/>
    <w:rsid w:val="00D9786C"/>
    <w:rsid w:val="00DA4464"/>
    <w:rsid w:val="048D69CE"/>
    <w:rsid w:val="05A52545"/>
    <w:rsid w:val="073D0851"/>
    <w:rsid w:val="089F7642"/>
    <w:rsid w:val="095A744C"/>
    <w:rsid w:val="0DA03748"/>
    <w:rsid w:val="0E1B44D9"/>
    <w:rsid w:val="0F320679"/>
    <w:rsid w:val="0F6A34DD"/>
    <w:rsid w:val="0FD717B4"/>
    <w:rsid w:val="10226E28"/>
    <w:rsid w:val="10C9464F"/>
    <w:rsid w:val="12CD0D37"/>
    <w:rsid w:val="143B2569"/>
    <w:rsid w:val="154B444E"/>
    <w:rsid w:val="166614A8"/>
    <w:rsid w:val="17246654"/>
    <w:rsid w:val="18F57C8F"/>
    <w:rsid w:val="1D0505E7"/>
    <w:rsid w:val="1D065F9D"/>
    <w:rsid w:val="1E6C6158"/>
    <w:rsid w:val="1FFE6F6C"/>
    <w:rsid w:val="22431E15"/>
    <w:rsid w:val="22615060"/>
    <w:rsid w:val="23746516"/>
    <w:rsid w:val="23BE756D"/>
    <w:rsid w:val="23F65005"/>
    <w:rsid w:val="251703C8"/>
    <w:rsid w:val="257F594A"/>
    <w:rsid w:val="266E757B"/>
    <w:rsid w:val="26EF0D6B"/>
    <w:rsid w:val="2A066DCE"/>
    <w:rsid w:val="2A407039"/>
    <w:rsid w:val="31BE41F2"/>
    <w:rsid w:val="33E77A7F"/>
    <w:rsid w:val="34CF5C01"/>
    <w:rsid w:val="363622B3"/>
    <w:rsid w:val="36571AEB"/>
    <w:rsid w:val="384C15AC"/>
    <w:rsid w:val="3A157F38"/>
    <w:rsid w:val="3AC83FC2"/>
    <w:rsid w:val="3AEE08E3"/>
    <w:rsid w:val="3B8B537C"/>
    <w:rsid w:val="3E095546"/>
    <w:rsid w:val="3E7B74A3"/>
    <w:rsid w:val="3FEE5228"/>
    <w:rsid w:val="41E95F64"/>
    <w:rsid w:val="42885739"/>
    <w:rsid w:val="428A077C"/>
    <w:rsid w:val="42D75409"/>
    <w:rsid w:val="43A60C4A"/>
    <w:rsid w:val="43D75F36"/>
    <w:rsid w:val="44681CDD"/>
    <w:rsid w:val="44BA2399"/>
    <w:rsid w:val="44BE1FEF"/>
    <w:rsid w:val="452736CC"/>
    <w:rsid w:val="464D23DD"/>
    <w:rsid w:val="46E16201"/>
    <w:rsid w:val="48D94640"/>
    <w:rsid w:val="49F754B9"/>
    <w:rsid w:val="4C08063B"/>
    <w:rsid w:val="4DEB3E54"/>
    <w:rsid w:val="4EF11595"/>
    <w:rsid w:val="50CE4D65"/>
    <w:rsid w:val="53D35A3D"/>
    <w:rsid w:val="53E02D5F"/>
    <w:rsid w:val="58CE2ACB"/>
    <w:rsid w:val="5BDA53DD"/>
    <w:rsid w:val="5DE5718D"/>
    <w:rsid w:val="612D364D"/>
    <w:rsid w:val="619B5432"/>
    <w:rsid w:val="628E3680"/>
    <w:rsid w:val="62B65F7A"/>
    <w:rsid w:val="62F72C10"/>
    <w:rsid w:val="6386757D"/>
    <w:rsid w:val="640D631F"/>
    <w:rsid w:val="660B35B1"/>
    <w:rsid w:val="668C723A"/>
    <w:rsid w:val="675950B9"/>
    <w:rsid w:val="67CC0724"/>
    <w:rsid w:val="6A2161BA"/>
    <w:rsid w:val="6A5400FF"/>
    <w:rsid w:val="6B4F63AC"/>
    <w:rsid w:val="6BE90216"/>
    <w:rsid w:val="6C457B82"/>
    <w:rsid w:val="6D25096B"/>
    <w:rsid w:val="6E7D6F4A"/>
    <w:rsid w:val="6F903149"/>
    <w:rsid w:val="709F448A"/>
    <w:rsid w:val="712B1472"/>
    <w:rsid w:val="719D797E"/>
    <w:rsid w:val="72F4109C"/>
    <w:rsid w:val="758B0E57"/>
    <w:rsid w:val="776A7C60"/>
    <w:rsid w:val="78E201B4"/>
    <w:rsid w:val="7A0754EC"/>
    <w:rsid w:val="7B145E7F"/>
    <w:rsid w:val="7CA46A3A"/>
    <w:rsid w:val="7D503F14"/>
    <w:rsid w:val="7F010FE2"/>
    <w:rsid w:val="7F5C1DA4"/>
    <w:rsid w:val="CFAF5AFB"/>
    <w:rsid w:val="D1BBAE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customStyle="1" w:styleId="9">
    <w:name w:val="列出段落1"/>
    <w:basedOn w:val="1"/>
    <w:qFormat/>
    <w:uiPriority w:val="34"/>
    <w:pPr>
      <w:ind w:firstLine="420" w:firstLineChars="200"/>
    </w:pPr>
    <w:rPr>
      <w:rFonts w:cs="Times New Roman"/>
    </w:rPr>
  </w:style>
  <w:style w:type="character" w:customStyle="1" w:styleId="10">
    <w:name w:val="fontstyle01"/>
    <w:basedOn w:val="6"/>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555</Words>
  <Characters>3169</Characters>
  <Lines>26</Lines>
  <Paragraphs>7</Paragraphs>
  <TotalTime>4</TotalTime>
  <ScaleCrop>false</ScaleCrop>
  <LinksUpToDate>false</LinksUpToDate>
  <CharactersWithSpaces>3717</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2019-12-23T16:34:00Z</dcterms:created>
  <dc:creator>顾煜俊</dc:creator>
  <cp:lastModifiedBy>user</cp:lastModifiedBy>
  <dcterms:modified xsi:type="dcterms:W3CDTF">2023-12-28T17:01:44Z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