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  <w:t>区科技局2022年政府信息公开工作年度报告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2022年，拱墅区科技局严格按照《中华人民共和国政府信息公开条例》精神，认真做好政务信息公开各项工作。本年报由总体情况、主动公开政府信息情况、收到和处理政府信息公开申请情况、政府信息公开行政复议、行政诉讼情况、存在的主要问题及改进情况、其他需要报告的事项等六个部分组成。本年度报告中所列数据的统计期限从2022年1月1日到12月31日止。具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（一）主动公开方面。2022年共发布、更新杭州拱墅门户网站内部门动态、公告公示及法定主动公开内容103条，其中部门动态40条、公告公示37条、法定主动公开内容26条。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（二）依申请公开方面。2022年度，我局新收自然人依申请公开0件。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（三）政府信息管理方面。按照政府信息公开要求，严格规范落实信息全流程管理，并认真落实发布信息审核。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（四）政府信息公开平台建设方面。按照统一要求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完成“创新拱墅”账号迁移工作，实时推送最新内容。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（五）监督保障方面。2022年，未发生由于政府信息公开工作引发的责任追究结果情况，因政府信息公开引发的行政复议0件，行政诉讼0件。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二、主动公开政府信息情况</w:t>
      </w:r>
    </w:p>
    <w:tbl>
      <w:tblPr>
        <w:tblStyle w:val="3"/>
        <w:tblW w:w="8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2100"/>
        <w:gridCol w:w="210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5" w:hRule="atLeast"/>
          <w:jc w:val="center"/>
        </w:trPr>
        <w:tc>
          <w:tcPr>
            <w:tcW w:w="8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信息内容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本年制发件数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本年废止件数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规章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行政规范性文件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84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信息内容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行政许可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84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信息内容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行政处罚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行政强制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84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信息内容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行政事业性收费</w:t>
            </w:r>
          </w:p>
        </w:tc>
        <w:tc>
          <w:tcPr>
            <w:tcW w:w="6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三、收到和处理政府信息公开申请情况</w:t>
      </w:r>
    </w:p>
    <w:tbl>
      <w:tblPr>
        <w:tblStyle w:val="3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15"/>
        <w:gridCol w:w="3262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492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机构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社会公益组织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法律服务机构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492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2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restart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三、本年度办理结果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（三）不予公开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（四）无法提供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（五）不予处理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0" w:hRule="atLeast"/>
        </w:trPr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（六）其他处理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2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四、政府信息公开行政复议、行政诉讼情况</w:t>
      </w:r>
    </w:p>
    <w:tbl>
      <w:tblPr>
        <w:tblStyle w:val="3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5"/>
        <w:gridCol w:w="645"/>
        <w:gridCol w:w="645"/>
        <w:gridCol w:w="671"/>
        <w:gridCol w:w="645"/>
        <w:gridCol w:w="645"/>
        <w:gridCol w:w="645"/>
        <w:gridCol w:w="645"/>
        <w:gridCol w:w="671"/>
        <w:gridCol w:w="645"/>
        <w:gridCol w:w="645"/>
        <w:gridCol w:w="645"/>
        <w:gridCol w:w="645"/>
        <w:gridCol w:w="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32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行政复议</w:t>
            </w:r>
          </w:p>
        </w:tc>
        <w:tc>
          <w:tcPr>
            <w:tcW w:w="650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4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结果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  纠正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其他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  结果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尚未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  审结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总计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未经复议直接起诉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结果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  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结果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  纠正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其他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  结果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尚未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  审结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总计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结果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  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结果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  纠正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其他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  结果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尚未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  审结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2022年，我局政府信息公开在区府办的指导下，取得了一些新进展、新成绩，但是与政务公开的要求仍旧存在一定差距：主要表现在信息公开不够及时、公开信息内容单一、公民参与政务公开工作的意识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Hans"/>
        </w:rPr>
        <w:t>淡薄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，网上互动不够。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2023年，我局将认真贯彻政府信息公开工作要求，继续抓好政务公开工作。主要做好以下几方面工作：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一是加强组织领导，细化政务公开目标任务。把政务公开工作作为经常性工作纳入重要议事日程，提升全员信息公开意识，提高信息公开整体时效。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二是加强工作宣传，完善政务公开监督机制。充分运用多种媒介，采用群众喜闻乐见的方式加大政务公开的宣传力度，健全内外并举的监督制约、督办督察工作机制。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三是加强培训教育，建立全员参与政务公开的机制。立足直接服务人民群众的实际，全面准确公开政务公开各类事项，提高基层政务公开标准化规范化工作知晓率。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2022年，我局未收取政府信息公开相关费用。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EB16B"/>
    <w:rsid w:val="4A472153"/>
    <w:rsid w:val="592D3B66"/>
    <w:rsid w:val="FCFFF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2023-07-04T01:54:00Z</dcterms:created>
  <dc:creator>Administrator</dc:creator>
  <cp:lastModifiedBy>小胡来</cp:lastModifiedBy>
  <dcterms:modified xsi:type="dcterms:W3CDTF">2023-08-18T15:55:41Z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F9B7B39C0D3B43B794BAC55D65B2BF2E</vt:lpwstr>
  </property>
</Properties>
</file>