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文晖街道2022年度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政府信息公开工作年度报告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wordWrap/>
        <w:adjustRightInd/>
        <w:snapToGrid/>
        <w:spacing w:line="560" w:lineRule="exact"/>
        <w:ind w:firstLine="48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本年度报告根据《中华人民共和国政府信息公开条例》（以下简称《条例》）要求，按照202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年杭州市拱墅区人民政府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>文晖街道办事处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政府信息公开工作编制而成。本年报由总体情况、主动公开政府信息情况、收到和处理政府信息公开申请情况、因政府信息公开工作被申请行政复议及提起行政诉讼情况、政府信息公开工作存在的主要问题及改进情况概述、其他需要报告的事项等六个部分组成。本年度报告中所列数据的统计期限从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年1月1日到12月31日止。本年度报告的电子版可以从“杭州･拱墅”政府门户网站政务公开专栏下载。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一、总体情况</w:t>
      </w:r>
    </w:p>
    <w:p>
      <w:pPr>
        <w:widowControl/>
        <w:wordWrap/>
        <w:adjustRightInd/>
        <w:snapToGrid/>
        <w:spacing w:line="560" w:lineRule="exact"/>
        <w:ind w:firstLine="48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 xml:space="preserve"> 年，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  <w:lang w:val="en-US" w:eastAsia="zh-CN"/>
        </w:rPr>
        <w:t>文晖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080000" w:fill="FFFFFF"/>
        </w:rPr>
        <w:t>街道认真贯彻执行《中华人民共和国政府信息公开条例》以及省、市、区政府信息公开相关规定，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紧紧围绕区委、区政府中心工作和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val="en-US" w:eastAsia="zh-CN"/>
        </w:rPr>
        <w:t>街道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重点工作以及群众关注关切，扎实开展政务公开工作。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（一）主动公开方面。街道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根据政府信息公开的有关要求，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结合工作实际，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积极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认真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梳理，主动公开信息，最大程度地保障公众的知情权和监督权。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2022年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，共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更新机构概况、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领导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班子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、内设科室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 xml:space="preserve">信息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 xml:space="preserve"> 条；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信息公开年报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及工作解读各1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 xml:space="preserve"> 条、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部门文件3条、重大行政决策事项标准1条、总结计划类信息4条、民生实事等决策执行落实情况信息2条、财政预决算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信息 2 条、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惠企惠民信息3条、行政执法公开信息4条、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社会救助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和社会福利信息5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条、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人大建议答复信息1条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（二）依申请公开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方面。规范政府信息公开申请办理工作，建立健全登记、审核、会商、办理、答复、归档等工作机制。2022年共受理依申请公开1件。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（三）信息管理方面。建立政府信息公开工作领导机构，明确由街道党政办办负责具体工作，并将政府信息公开责任分解落实到每一个科室、每一个人，为确保街道信息公开的时效性、权威性和完整性提供组织保障。全年按照工作计划，各科室分工协作，推动政务公开工作高效运转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（四）平台建设方面。街道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在“杭州·拱墅”门户网站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中开设政务公开栏目，通过落实专人负责、不断优化栏目信息，提升公开栏目与公开内容的契合度，便于信息发布和群众查阅，提高信息公开的针对性、严谨性和时效性。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（五）监督保障方面。街道严格按照区政府有关规定落实政务公开监督保障，将政务公开工作纳入街道年度考核，明确落实工作责任，严格审核发布内容，及时准确回复咨询，认真做好政务公开反馈问题的整改工作。建立政务公开社会评议制度，邀请“两代表一委员”等进机关对政务公开等政府工作情况提出意见建议，推动政务公开工作落到实处。2022年，本单位未发生政府信息公开工作责任追究结果情况，未产生投诉、举报、复议等各类纠纷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二、主动公开政府信息情况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bookmarkStart w:id="0" w:name="_GoBack" w:colFirst="0" w:colLast="14"/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bookmarkEnd w:id="0"/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五、存在的主要问题及改进情况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年我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街道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政府信息公开工作方面虽然取得了一定成效，但也存在政务公开的及时性仍有进一步提升的空间等问题。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下一步，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街道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从三个方面推进政府信息公开工作。一是加强学习，进一步规范政务公开行为。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认真学习《中华人民共和国政府信息公开条例》，认真贯彻执行省、市、区党委、政府关于政务公开的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相关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要求，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进一步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推进政务公开工作制度化、规范化和科学化。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二是聚集重点，进一步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完善政务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公开工作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及时认真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梳理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公开内容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，主动向社会公开可以公开的信息，确保政务信息公开的完整性、全面性和及时性；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三是以改促训，进一步提升政务公开质效。通过对发现问题的整改，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有针对性地组织人员开展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培训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教育，提升信息公开工作人员素质，提高政务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公开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eastAsia="zh-CN" w:bidi="ar-SA"/>
        </w:rPr>
        <w:t>工作质量和水平。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六、其他需要报告的事项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color="090000" w:fill="FFFFFF"/>
          <w:lang w:val="en-US" w:eastAsia="zh-CN" w:bidi="ar-SA"/>
        </w:rPr>
        <w:t>2022年，街道未收取政府信息公开相关费用。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WQwNjE5OWVhMzc3N2RjMGYzYzg1OTdmOWVlY2ZkZjkifQ=="/>
  </w:docVars>
  <w:rsids>
    <w:rsidRoot w:val="070A6EFF"/>
    <w:rsid w:val="070A6EFF"/>
    <w:rsid w:val="094B1DE4"/>
    <w:rsid w:val="0AAF5150"/>
    <w:rsid w:val="0ACF48CC"/>
    <w:rsid w:val="0E323572"/>
    <w:rsid w:val="0FE8038D"/>
    <w:rsid w:val="16930926"/>
    <w:rsid w:val="17421FF8"/>
    <w:rsid w:val="17481711"/>
    <w:rsid w:val="18FC6C57"/>
    <w:rsid w:val="215B0293"/>
    <w:rsid w:val="232C1EE7"/>
    <w:rsid w:val="26386CB9"/>
    <w:rsid w:val="26E52AD8"/>
    <w:rsid w:val="28B64369"/>
    <w:rsid w:val="2C136339"/>
    <w:rsid w:val="2E0A3B00"/>
    <w:rsid w:val="2FD47B8E"/>
    <w:rsid w:val="3771696F"/>
    <w:rsid w:val="41D8277C"/>
    <w:rsid w:val="43351E11"/>
    <w:rsid w:val="462D0AC2"/>
    <w:rsid w:val="4A3530AE"/>
    <w:rsid w:val="4DBC0187"/>
    <w:rsid w:val="4E5C54C6"/>
    <w:rsid w:val="50C31573"/>
    <w:rsid w:val="52410C5B"/>
    <w:rsid w:val="55A20B34"/>
    <w:rsid w:val="55B33C1E"/>
    <w:rsid w:val="5CB12E81"/>
    <w:rsid w:val="5E745808"/>
    <w:rsid w:val="61C40F61"/>
    <w:rsid w:val="63C33BC6"/>
    <w:rsid w:val="688B2D0B"/>
    <w:rsid w:val="6A366774"/>
    <w:rsid w:val="6B234F4A"/>
    <w:rsid w:val="6EE3392C"/>
    <w:rsid w:val="765C57B4"/>
    <w:rsid w:val="78016613"/>
    <w:rsid w:val="7D321AD8"/>
    <w:rsid w:val="7EE8408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2269</Words>
  <Characters>2319</Characters>
  <Lines>0</Lines>
  <Paragraphs>0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2023-01-03T03:53:00Z</dcterms:created>
  <dc:creator>WPS_1649788484</dc:creator>
  <cp:lastModifiedBy>项逸伟</cp:lastModifiedBy>
  <dcterms:modified xsi:type="dcterms:W3CDTF">2023-01-13T08:17:04Z</dcterms:modified>
  <dc:title>文晖街道2022年度政府信息公开工作年度报告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395B3F447E4245F89FE70DA46FA86B18</vt:lpwstr>
  </property>
</Properties>
</file>