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拱墅区2024年购买公共文化服务目录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608"/>
        <w:gridCol w:w="5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03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2024年度送演出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下基层108场</w:t>
            </w:r>
          </w:p>
        </w:tc>
        <w:tc>
          <w:tcPr>
            <w:tcW w:w="30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杭州市拱墅区2024年度群文配送演出项目，主要内容为面向基层和特殊群体实施文化惠民演出。演出节目需包含声乐、舞蹈、小品、杂技、戏曲等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预计108场次。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拱墅区“十百千”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基层公共文化服务培训</w:t>
            </w:r>
          </w:p>
        </w:tc>
        <w:tc>
          <w:tcPr>
            <w:tcW w:w="30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根据省市对于基层公共文化服务培训的标准和要求，采购拱墅区“十百千”基层公共文化服务培训服务，培训人次约2000人，培训方式为专题讲座、案例教学、实地考察、参观交流等。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拱墅区基层公共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文化服务绩效评估</w:t>
            </w:r>
          </w:p>
        </w:tc>
        <w:tc>
          <w:tcPr>
            <w:tcW w:w="30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采购公共文化服务第三方绩效评估服务，主要是对区级三个场馆、十八个街道的公共文化服务绩效评估及排名、社区的公共文化服务绩效评估，另外还有局属场馆委托第三方运营的，包括运河大剧院、荣华戏园、烟囱书房等几个点位的绩效评估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拱墅区图书馆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图书音像采购项目</w:t>
            </w:r>
          </w:p>
        </w:tc>
        <w:tc>
          <w:tcPr>
            <w:tcW w:w="30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  <w:lang w:val="en-US" w:eastAsia="zh-CN"/>
              </w:rPr>
              <w:t>图书采购、加工、运输。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拱墅区文化馆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公益培训采购项目</w:t>
            </w:r>
          </w:p>
        </w:tc>
        <w:tc>
          <w:tcPr>
            <w:tcW w:w="30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  <w:lang w:val="en-US" w:eastAsia="zh-CN"/>
              </w:rPr>
              <w:t>全年春夏秋三季培训课程；夜课堂培训课程；“富美艺墅”系列讲座部分课程。</w:t>
            </w:r>
          </w:p>
        </w:tc>
      </w:tr>
      <w:bookmarkEnd w:id="0"/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45C3D"/>
    <w:rsid w:val="30CE0B45"/>
    <w:rsid w:val="3819714A"/>
    <w:rsid w:val="3CC04337"/>
    <w:rsid w:val="44C56A52"/>
    <w:rsid w:val="4A6E715E"/>
    <w:rsid w:val="54742AE8"/>
    <w:rsid w:val="57E45C3D"/>
    <w:rsid w:val="63E16B44"/>
    <w:rsid w:val="7A1F66E8"/>
    <w:rsid w:val="7B30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2024-01-05T06:09:00Z</dcterms:created>
  <dc:creator>Administrator</dc:creator>
  <cp:lastModifiedBy>Administrator</cp:lastModifiedBy>
  <dcterms:modified xsi:type="dcterms:W3CDTF">2024-03-21T07:10:25Z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4B761C11C37F4EE5A6CA76F1D428AF4D</vt:lpwstr>
  </property>
</Properties>
</file>