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64646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464646"/>
          <w:spacing w:val="0"/>
          <w:sz w:val="44"/>
          <w:szCs w:val="44"/>
          <w:shd w:val="clear" w:fill="FFFFFF"/>
          <w:lang w:val="en-US" w:eastAsia="zh-CN"/>
        </w:rPr>
        <w:t>关于2023年拱墅区专项职业能力考核机构遴选结果的公示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eastAsia="zh-CN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关于开展2023年拱墅区专项职业能力考核机构遴选工作的通知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eastAsia="zh-CN"/>
        </w:rPr>
        <w:t>》要求，拱墅区人力资源和社会保障局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  <w:t>组织专家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eastAsia="zh-CN"/>
        </w:rPr>
        <w:t>对专项职业能力考核机构申报单位进行了评估遴选，现将评审结果予以公示，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  <w:t>公示期为5个工作日（2023年5月1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  <w:t>日至5月2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</w:rPr>
        <w:t>日）。有关单位和个人如对公示内容有异议，请于公示之日起5个工作日内通过来信、来电、来访的形式向我局反映。以单位名义反映的应加盖单位公章，以个人名义反映的应署明真实姓名和联系电话。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0571-86615150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联系地址：杭州市拱墅区文晖路1号1328室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附件：2023年拱墅区专项职业能力考核机构名单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>杭州市拱墅区人力资源和社会保障局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64646"/>
          <w:spacing w:val="0"/>
          <w:sz w:val="32"/>
          <w:szCs w:val="32"/>
          <w:shd w:val="clear" w:fill="FFFFFF"/>
          <w:lang w:val="en-US" w:eastAsia="zh-CN"/>
        </w:rPr>
        <w:t xml:space="preserve">                2023年5月19日</w:t>
      </w:r>
    </w:p>
    <w:tbl>
      <w:tblPr>
        <w:tblStyle w:val="5"/>
        <w:tblpPr w:leftFromText="180" w:rightFromText="180" w:vertAnchor="text" w:horzAnchor="page" w:tblpX="2042" w:tblpY="633"/>
        <w:tblOverlap w:val="never"/>
        <w:tblW w:w="80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250"/>
        <w:gridCol w:w="3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专项职业能力考核项目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浙江商业职业技术学院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串珠制作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网店美工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网店客服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网店运营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餐饮安全管理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家庭教育指导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货运代理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餐厅服务管理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创业辅导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鱼丸制作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小笼包制作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工业机器人应用与维护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剪纸制作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民宿管家服务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面包烘焙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杭州市化工学会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室内空气治理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杭州中策职业技能培训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面包烘培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餐厅服务管理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小笼包制作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杭州轻工技师学院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花卉栽培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串珠制作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网店美工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网店客服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网店运营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剪纸制作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创业辅导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中药调剂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家庭教育指导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面包烘焙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小笼包制作（嵊州）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鱼丸制作（石浦）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杭州市职业技能培训学校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（杭州工匠学院）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面包烘培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花卉栽培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串珠制作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餐饮食品安全管理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餐厅服务管理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民宿管家服务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园艺布景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4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中药调剂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eastAsia="楷体_GB2312" w:cs="Times New Roman"/>
          <w:color w:val="000000"/>
          <w:kern w:val="2"/>
          <w:sz w:val="20"/>
          <w:szCs w:val="20"/>
          <w:u w:val="singl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2023年拱墅区专项职业能力考核机构名单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楷体_GB2312" w:eastAsia="楷体_GB2312" w:cs="Times New Roman"/>
          <w:color w:val="000000"/>
          <w:kern w:val="2"/>
          <w:sz w:val="24"/>
          <w:szCs w:val="24"/>
          <w:u w:val="single"/>
          <w:lang w:val="en-US" w:eastAsia="zh-CN" w:bidi="ar"/>
        </w:rPr>
      </w:pP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464646"/>
          <w:spacing w:val="0"/>
          <w:sz w:val="18"/>
          <w:szCs w:val="1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E496A37-73BB-42B3-A077-51905BC9E2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FCF4670-3CD0-49F7-8904-4F42FBC94AD0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0340F2DA-9491-4467-8AAE-7F33FAF06CE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zAwMzhmNGViYjVhZGEyZDQyZDRkYTNkMjNlNjMifQ=="/>
  </w:docVars>
  <w:rsids>
    <w:rsidRoot w:val="17134C8F"/>
    <w:rsid w:val="16E56690"/>
    <w:rsid w:val="171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Arial" w:hAnsi="Arial" w:eastAsia="华文中宋"/>
      <w:b/>
      <w:color w:val="000000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  <w:rPr>
      <w:rFonts w:ascii="Calibri" w:hAnsi="Calibri" w:eastAsia="宋体" w:cs="Times New Roman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601</Words>
  <Characters>637</Characters>
  <Lines>0</Lines>
  <Paragraphs>0</Paragraphs>
  <TotalTime>4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2023-05-18T08:53:00Z</dcterms:created>
  <dc:creator>我说故里有长安</dc:creator>
  <cp:lastModifiedBy>我说故里有长安</cp:lastModifiedBy>
  <dcterms:modified xsi:type="dcterms:W3CDTF">2023-05-19T09:03:59Z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80B9EDC61A4B46AB92F6353E5503D6B8_11</vt:lpwstr>
  </property>
</Properties>
</file>