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hint="eastAsia"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tabs>
          <w:tab w:val="left" w:pos="4500"/>
        </w:tabs>
        <w:adjustRightInd w:val="0"/>
        <w:snapToGrid w:val="0"/>
        <w:jc w:val="center"/>
        <w:rPr>
          <w:rFonts w:hint="eastAsia" w:ascii="黑体" w:eastAsia="黑体"/>
          <w:bCs/>
          <w:sz w:val="44"/>
        </w:rPr>
      </w:pPr>
      <w:bookmarkStart w:id="0" w:name="_Toc2770"/>
      <w:r>
        <w:rPr>
          <w:rFonts w:hint="eastAsia" w:ascii="仿宋_GB2312" w:hAnsi="仿宋_GB2312" w:eastAsia="仿宋_GB2312" w:cs="仿宋_GB2312"/>
          <w:sz w:val="36"/>
          <w:szCs w:val="36"/>
        </w:rPr>
        <w:t>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湖办</w:t>
      </w:r>
      <w:r>
        <w:rPr>
          <w:rFonts w:hint="eastAsia" w:ascii="仿宋_GB2312" w:eastAsia="仿宋_GB2312"/>
          <w:spacing w:val="-4"/>
          <w:sz w:val="36"/>
          <w:szCs w:val="36"/>
        </w:rPr>
        <w:t>〔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spacing w:val="-4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6"/>
          <w:szCs w:val="36"/>
        </w:rPr>
        <w:t>号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hint="eastAsia"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hint="eastAsia"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hint="eastAsia" w:ascii="黑体" w:eastAsia="黑体"/>
          <w:bCs/>
          <w:sz w:val="44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调整湖墅</w:t>
      </w:r>
      <w:r>
        <w:rPr>
          <w:rFonts w:hint="eastAsia" w:ascii="方正小标宋简体" w:hAnsi="宋体" w:eastAsia="方正小标宋简体"/>
          <w:sz w:val="44"/>
          <w:szCs w:val="44"/>
        </w:rPr>
        <w:t>街道“五水共治”暨“河长制”工作领导小组的通知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机关各科室、相关单位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为切实做好 “五水共治”工作，全面推行“河长制”，提升治水工作成效，经研究，决定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调整湖墅</w:t>
      </w:r>
      <w:r>
        <w:rPr>
          <w:rFonts w:hint="eastAsia" w:ascii="仿宋_GB2312" w:hAnsi="宋体" w:eastAsia="仿宋_GB2312"/>
          <w:sz w:val="32"/>
          <w:szCs w:val="32"/>
        </w:rPr>
        <w:t>街道“五水共治”暨“河长制”工作领导小组。名单如下</w:t>
      </w:r>
      <w:r>
        <w:rPr>
          <w:rFonts w:hint="eastAsia" w:ascii="仿宋_GB2312" w:hAnsi="宋体" w:eastAsia="仿宋_GB2312"/>
          <w:color w:val="000000"/>
          <w:spacing w:val="15"/>
          <w:sz w:val="32"/>
          <w:szCs w:val="32"/>
        </w:rPr>
        <w:t>：</w:t>
      </w:r>
    </w:p>
    <w:tbl>
      <w:tblPr>
        <w:tblStyle w:val="3"/>
        <w:tblW w:w="90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9"/>
        <w:gridCol w:w="5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9" w:type="dxa"/>
            <w:vAlign w:val="top"/>
          </w:tcPr>
          <w:p>
            <w:pPr>
              <w:tabs>
                <w:tab w:val="left" w:pos="2592"/>
              </w:tabs>
              <w:adjustRightInd w:val="0"/>
              <w:snapToGrid w:val="0"/>
              <w:spacing w:line="360" w:lineRule="auto"/>
              <w:ind w:right="-525" w:rightChars="-2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32"/>
                <w:szCs w:val="32"/>
              </w:rPr>
              <w:t>组      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陆珊溢</w:t>
            </w:r>
          </w:p>
        </w:tc>
        <w:tc>
          <w:tcPr>
            <w:tcW w:w="5024" w:type="dxa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3" w:type="dxa"/>
            <w:gridSpan w:val="2"/>
            <w:vAlign w:val="top"/>
          </w:tcPr>
          <w:p>
            <w:pPr>
              <w:tabs>
                <w:tab w:val="left" w:pos="4785"/>
              </w:tabs>
              <w:spacing w:line="360" w:lineRule="auto"/>
              <w:ind w:firstLine="320" w:firstLineChars="100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常务副组长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方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3" w:type="dxa"/>
            <w:gridSpan w:val="2"/>
            <w:vAlign w:val="top"/>
          </w:tcPr>
          <w:p>
            <w:pPr>
              <w:tabs>
                <w:tab w:val="left" w:pos="4785"/>
              </w:tabs>
              <w:spacing w:line="360" w:lineRule="auto"/>
              <w:ind w:firstLine="320" w:firstLineChars="1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副  组  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黄星明、陈旭阳、徐海华、黄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群、沈志毅</w:t>
            </w:r>
          </w:p>
          <w:p>
            <w:pPr>
              <w:tabs>
                <w:tab w:val="left" w:pos="4785"/>
              </w:tabs>
              <w:spacing w:line="360" w:lineRule="auto"/>
              <w:ind w:firstLine="2240" w:firstLineChars="7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黄琴琴、陈玮婷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tabs>
                <w:tab w:val="left" w:pos="4785"/>
              </w:tabs>
              <w:spacing w:line="360" w:lineRule="auto"/>
              <w:ind w:firstLine="320" w:firstLineChars="1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成      员：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荔、汪晖明、蒋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平、寿子凤、张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慧</w:t>
            </w:r>
          </w:p>
          <w:p>
            <w:pPr>
              <w:tabs>
                <w:tab w:val="left" w:pos="4785"/>
              </w:tabs>
              <w:spacing w:line="360" w:lineRule="auto"/>
              <w:ind w:firstLine="2240" w:firstLineChars="7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姚红祥、沈洪权、徐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新、刘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嘉、张宁剑</w:t>
            </w:r>
          </w:p>
          <w:p>
            <w:pPr>
              <w:tabs>
                <w:tab w:val="left" w:pos="4785"/>
              </w:tabs>
              <w:spacing w:line="360" w:lineRule="auto"/>
              <w:ind w:firstLine="2240" w:firstLineChars="7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沈祖民、罗明惠、孙国强、俞惠萍、钟同剑</w:t>
            </w:r>
          </w:p>
          <w:p>
            <w:pPr>
              <w:tabs>
                <w:tab w:val="left" w:pos="4785"/>
              </w:tabs>
              <w:spacing w:line="360" w:lineRule="auto"/>
              <w:ind w:firstLine="2240" w:firstLineChars="7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马永民、丁晓楚、朱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薇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领导小组下设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“河长制”</w:t>
      </w:r>
      <w:r>
        <w:rPr>
          <w:rFonts w:hint="eastAsia" w:ascii="仿宋_GB2312" w:hAnsi="宋体" w:eastAsia="仿宋_GB2312"/>
          <w:sz w:val="32"/>
          <w:szCs w:val="32"/>
        </w:rPr>
        <w:t>办公室，负责全街道治水工作的组织、协调、监督和考核工作。</w:t>
      </w:r>
      <w:r>
        <w:rPr>
          <w:rFonts w:hint="eastAsia" w:ascii="仿宋_GB2312" w:eastAsia="仿宋_GB2312"/>
          <w:sz w:val="32"/>
          <w:szCs w:val="32"/>
          <w:lang w:eastAsia="zh-CN"/>
        </w:rPr>
        <w:t>陈荔</w:t>
      </w:r>
      <w:r>
        <w:rPr>
          <w:rFonts w:hint="eastAsia" w:ascii="仿宋_GB2312" w:hAnsi="宋体" w:eastAsia="仿宋_GB2312"/>
          <w:sz w:val="32"/>
          <w:szCs w:val="32"/>
        </w:rPr>
        <w:t>兼任办公室主任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/>
    <w:p/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tbl>
      <w:tblPr>
        <w:tblStyle w:val="3"/>
        <w:tblW w:w="91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1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jc w:val="righ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拱墅区人民政府湖墅街道办事处</w:t>
            </w:r>
          </w:p>
          <w:p>
            <w:pPr>
              <w:spacing w:line="320" w:lineRule="exact"/>
              <w:ind w:firstLine="160" w:firstLineChars="50"/>
              <w:jc w:val="righ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jc w:val="righ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2018年12月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日</w:t>
            </w: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hint="eastAsia" w:ascii="黑体" w:hAnsi="华文仿宋" w:eastAsia="黑体"/>
                <w:sz w:val="32"/>
                <w:szCs w:val="32"/>
              </w:rPr>
            </w:pPr>
          </w:p>
          <w:p>
            <w:pPr>
              <w:spacing w:line="320" w:lineRule="exact"/>
              <w:ind w:firstLine="160" w:firstLineChars="50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黑体" w:hAnsi="华文仿宋" w:eastAsia="黑体"/>
                <w:sz w:val="32"/>
                <w:szCs w:val="32"/>
              </w:rPr>
              <w:t>主题词：</w:t>
            </w: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河长制</w:t>
            </w:r>
            <w:r>
              <w:rPr>
                <w:rFonts w:hint="eastAsia" w:ascii="黑体" w:hAnsi="华文仿宋" w:eastAsia="黑体"/>
                <w:sz w:val="32"/>
                <w:szCs w:val="32"/>
              </w:rPr>
              <w:t> </w:t>
            </w: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五水共治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sz w:val="32"/>
                <w:szCs w:val="32"/>
                <w:lang w:eastAsia="zh-CN"/>
              </w:rPr>
              <w:t>领导小组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通知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1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 xml:space="preserve">抄送：区治水办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60" w:firstLineChars="50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湖墅街道办事处</w:t>
            </w:r>
          </w:p>
        </w:tc>
        <w:tc>
          <w:tcPr>
            <w:tcW w:w="52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ascii="仿宋_GB2312" w:hAnsi="华文仿宋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sz w:val="32"/>
                <w:szCs w:val="32"/>
              </w:rPr>
              <w:t>2018年12月</w:t>
            </w:r>
            <w:r>
              <w:rPr>
                <w:rFonts w:hint="eastAsia" w:ascii="仿宋_GB2312" w:hAnsi="华文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日印发</w:t>
            </w:r>
          </w:p>
        </w:tc>
      </w:tr>
    </w:tbl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spacing w:line="240" w:lineRule="exact"/>
        <w:jc w:val="center"/>
        <w:rPr>
          <w:rFonts w:ascii="方正姚体" w:eastAsia="方正姚体"/>
          <w:b/>
          <w:color w:val="FF0000"/>
          <w:spacing w:val="-100"/>
          <w:w w:val="65"/>
          <w:sz w:val="110"/>
          <w:szCs w:val="110"/>
        </w:rPr>
      </w:pPr>
    </w:p>
    <w:p>
      <w:pPr>
        <w:tabs>
          <w:tab w:val="left" w:pos="4500"/>
        </w:tabs>
        <w:adjustRightInd w:val="0"/>
        <w:snapToGrid w:val="0"/>
        <w:jc w:val="center"/>
        <w:rPr>
          <w:rFonts w:ascii="黑体" w:eastAsia="黑体"/>
          <w:bCs/>
          <w:sz w:val="44"/>
        </w:rPr>
      </w:pPr>
      <w:bookmarkStart w:id="1" w:name="_Toc31945_WPSOffice_Level2"/>
      <w:r>
        <w:rPr>
          <w:rFonts w:hint="eastAsia" w:ascii="仿宋_GB2312" w:hAnsi="仿宋_GB2312" w:eastAsia="仿宋_GB2312" w:cs="仿宋_GB2312"/>
          <w:sz w:val="36"/>
          <w:szCs w:val="36"/>
        </w:rPr>
        <w:t>拱湖办</w:t>
      </w:r>
      <w:r>
        <w:rPr>
          <w:rFonts w:hint="eastAsia" w:ascii="仿宋_GB2312" w:eastAsia="仿宋_GB2312"/>
          <w:spacing w:val="-4"/>
          <w:sz w:val="36"/>
          <w:szCs w:val="36"/>
        </w:rPr>
        <w:t>〔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spacing w:val="-4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74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6"/>
          <w:szCs w:val="36"/>
        </w:rPr>
        <w:t>号</w:t>
      </w:r>
      <w:bookmarkEnd w:id="1"/>
    </w:p>
    <w:p>
      <w:pPr>
        <w:tabs>
          <w:tab w:val="left" w:pos="4500"/>
        </w:tabs>
        <w:adjustRightInd w:val="0"/>
        <w:snapToGrid w:val="0"/>
        <w:spacing w:line="300" w:lineRule="exact"/>
        <w:jc w:val="center"/>
        <w:rPr>
          <w:rFonts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ascii="黑体" w:eastAsia="黑体"/>
          <w:bCs/>
          <w:sz w:val="44"/>
        </w:rPr>
      </w:pPr>
    </w:p>
    <w:p>
      <w:pPr>
        <w:tabs>
          <w:tab w:val="left" w:pos="4500"/>
        </w:tabs>
        <w:adjustRightInd w:val="0"/>
        <w:snapToGrid w:val="0"/>
        <w:spacing w:line="240" w:lineRule="exact"/>
        <w:jc w:val="center"/>
        <w:rPr>
          <w:rFonts w:ascii="黑体" w:eastAsia="黑体"/>
          <w:bCs/>
          <w:sz w:val="44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关于调整湖墅街道“五水共治”暨“河长制”河长名录的通知</w:t>
      </w:r>
    </w:p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各社区、机关各科室、相关单位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进一步贯彻省、市、区治水办关于全面落实“河长制”的文件精神，建立健全湖墅街道所辖河道的长效管理机制，秉持绿水青山就是金山银山的发展理念，切实增进居民的获得感和幸福感，确保河道管理和监督责任到人。现将湖墅街道两级河（段）长名录更新并向社会公告。名录如下：</w:t>
      </w:r>
    </w:p>
    <w:tbl>
      <w:tblPr>
        <w:tblStyle w:val="3"/>
        <w:tblpPr w:leftFromText="180" w:rightFromText="180" w:vertAnchor="text" w:horzAnchor="page" w:tblpX="1830" w:tblpY="257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224"/>
        <w:gridCol w:w="1150"/>
        <w:gridCol w:w="1363"/>
        <w:gridCol w:w="1599"/>
        <w:gridCol w:w="1138"/>
        <w:gridCol w:w="15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河道名称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街道级河长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河段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社区级河长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河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陆珊溢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党工委书记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运河霞湾巷段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丁晓楚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运河仓基新村段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孙国强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运河珠儿潭段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俞惠萍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运河仁和仓段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朱薇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ind w:right="-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余杭塘河南线（信义河）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唐  华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办事处主任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余杭塘河南线（信义河）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俞惠萍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6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胜利河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陈旭阳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党工委副书记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胜利河湖墅段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丁晓楚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widowControl/>
              <w:ind w:right="-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红建河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  琪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办事处副主任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红建河长乐段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罗明惠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红建河霞湾巷段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丁晓楚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left="-105" w:leftChars="-50" w:right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社区主任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>
      <w:pPr>
        <w:spacing w:line="360" w:lineRule="auto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拱墅区人民政府湖墅街道办事处  </w:t>
      </w:r>
    </w:p>
    <w:p>
      <w:pPr>
        <w:spacing w:line="360" w:lineRule="auto"/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 xml:space="preserve">日 </w:t>
      </w: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jc w:val="center"/>
      </w:pPr>
      <w:r>
        <w:rPr>
          <w:rFonts w:hint="eastAsia" w:ascii="仿宋_GB2312" w:hAnsi="宋体" w:eastAsia="仿宋_GB2312"/>
          <w:sz w:val="32"/>
          <w:szCs w:val="32"/>
        </w:rPr>
        <w:t>拱墅区人民政府湖墅街道办事处</w: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</wp:posOffset>
                </wp:positionV>
                <wp:extent cx="5267325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0.6pt;height:0pt;width:414.75pt;z-index:251660288;mso-width-relative:page;mso-height-relative:page;" filled="f" stroked="t" coordsize="21600,21600" o:gfxdata="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5ArL7TAAAABgEAAA8AAAAA&#10;AAAAAQAgAAAAIgAAAGRycy9kb3ducmV2LnhtbFBLAQIUABQAAAAIAIdO4kDEr/G04AEAAKY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323850</wp:posOffset>
                </wp:positionV>
                <wp:extent cx="5267325" cy="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25.5pt;height:0pt;width:414.75pt;z-index:251661312;mso-width-relative:page;mso-height-relative:page;" filled="f" stroked="t" coordsize="21600,21600" o:gfxdata="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z2f81wAAAAgBAAAP&#10;AAAAAAAAAAEAIAAAACIAAABkcnMvZG93bnJldi54bWxQSwECFAAUAAAACACHTuJAGcKNPe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   2017年1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日印发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15E36"/>
    <w:rsid w:val="0A015E36"/>
    <w:rsid w:val="141A7ADE"/>
    <w:rsid w:val="21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2018-12-20T05:37:00Z</dcterms:created>
  <dc:creator>Zhwl</dc:creator>
  <cp:lastModifiedBy>Zhwl</cp:lastModifiedBy>
  <dcterms:modified xsi:type="dcterms:W3CDTF">2018-12-20T05:52:40Z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