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val="0"/>
        <w:spacing w:before="0" w:after="0" w:line="360" w:lineRule="auto"/>
        <w:rPr>
          <w:rFonts w:ascii="宋体" w:eastAsia="宋体" w:cs="宋体"/>
          <w:spacing w:val="40"/>
          <w:sz w:val="44"/>
          <w:szCs w:val="44"/>
        </w:rPr>
      </w:pPr>
      <w:bookmarkStart w:id="0" w:name="_Toc416249129"/>
      <w:r>
        <w:rPr>
          <w:rFonts w:hint="eastAsia" w:ascii="宋体" w:hAnsi="宋体" w:cs="宋体"/>
          <w:spacing w:val="40"/>
          <w:sz w:val="44"/>
          <w:szCs w:val="44"/>
        </w:rPr>
        <w:t>杭州卖鱼桥小学</w:t>
      </w:r>
    </w:p>
    <w:p>
      <w:pPr>
        <w:pStyle w:val="11"/>
        <w:snapToGrid w:val="0"/>
        <w:spacing w:before="0" w:after="0" w:line="360" w:lineRule="auto"/>
        <w:rPr>
          <w:rFonts w:ascii="宋体" w:eastAsia="宋体" w:cs="宋体"/>
          <w:spacing w:val="40"/>
          <w:sz w:val="48"/>
          <w:szCs w:val="48"/>
        </w:rPr>
      </w:pPr>
      <w:r>
        <w:rPr>
          <w:rFonts w:hint="eastAsia" w:ascii="宋体" w:hAnsi="宋体" w:cs="宋体"/>
          <w:spacing w:val="40"/>
          <w:sz w:val="48"/>
          <w:szCs w:val="48"/>
        </w:rPr>
        <w:t>“</w:t>
      </w:r>
      <w:r>
        <w:rPr>
          <w:rFonts w:ascii="宋体" w:hAnsi="宋体" w:cs="宋体"/>
          <w:spacing w:val="40"/>
          <w:sz w:val="48"/>
          <w:szCs w:val="48"/>
        </w:rPr>
        <w:t>2018</w:t>
      </w:r>
      <w:r>
        <w:rPr>
          <w:rFonts w:hint="eastAsia" w:ascii="宋体" w:hAnsi="宋体" w:cs="宋体"/>
          <w:spacing w:val="40"/>
          <w:sz w:val="48"/>
          <w:szCs w:val="48"/>
        </w:rPr>
        <w:t>年教职工疗休养”</w:t>
      </w:r>
    </w:p>
    <w:p>
      <w:pPr>
        <w:pStyle w:val="11"/>
        <w:snapToGrid w:val="0"/>
        <w:spacing w:before="0" w:after="0" w:line="360" w:lineRule="auto"/>
        <w:rPr>
          <w:rFonts w:ascii="宋体" w:eastAsia="宋体" w:cs="宋体"/>
          <w:spacing w:val="40"/>
          <w:sz w:val="48"/>
          <w:szCs w:val="48"/>
        </w:rPr>
      </w:pPr>
      <w:r>
        <w:rPr>
          <w:rFonts w:hint="eastAsia" w:ascii="宋体" w:hAnsi="宋体" w:cs="宋体"/>
          <w:spacing w:val="40"/>
          <w:sz w:val="48"/>
          <w:szCs w:val="48"/>
        </w:rPr>
        <w:t>项目采购</w:t>
      </w:r>
      <w:bookmarkEnd w:id="0"/>
    </w:p>
    <w:p>
      <w:pPr>
        <w:pStyle w:val="11"/>
        <w:snapToGrid w:val="0"/>
        <w:spacing w:before="0" w:after="0" w:line="360" w:lineRule="auto"/>
        <w:rPr>
          <w:rFonts w:ascii="宋体" w:eastAsia="宋体" w:cs="宋体"/>
          <w:spacing w:val="40"/>
          <w:sz w:val="48"/>
          <w:szCs w:val="48"/>
        </w:rPr>
      </w:pPr>
      <w:bookmarkStart w:id="1" w:name="_Toc416249130"/>
      <w:r>
        <w:rPr>
          <w:rFonts w:hint="eastAsia" w:ascii="宋体" w:hAnsi="宋体" w:cs="宋体"/>
          <w:spacing w:val="40"/>
          <w:sz w:val="48"/>
          <w:szCs w:val="48"/>
        </w:rPr>
        <w:t>招标文件</w:t>
      </w:r>
      <w:bookmarkEnd w:id="1"/>
    </w:p>
    <w:p>
      <w:pPr>
        <w:snapToGrid w:val="0"/>
        <w:ind w:right="-108"/>
        <w:jc w:val="center"/>
        <w:rPr>
          <w:rFonts w:ascii="宋体" w:cs="宋体"/>
          <w:sz w:val="18"/>
          <w:szCs w:val="18"/>
        </w:rPr>
      </w:pPr>
    </w:p>
    <w:p>
      <w:pPr>
        <w:ind w:right="-108"/>
        <w:rPr>
          <w:rFonts w:ascii="宋体" w:cs="宋体"/>
          <w:sz w:val="28"/>
          <w:szCs w:val="28"/>
        </w:rPr>
      </w:pPr>
      <w:r>
        <w:rPr>
          <w:rFonts w:ascii="宋体" w:hAnsi="宋体" w:cs="宋体"/>
          <w:sz w:val="28"/>
          <w:szCs w:val="28"/>
        </w:rPr>
        <w:t xml:space="preserve">                 </w:t>
      </w:r>
      <w:r>
        <w:rPr>
          <w:rFonts w:hint="eastAsia" w:ascii="宋体" w:hAnsi="宋体" w:cs="宋体"/>
          <w:sz w:val="28"/>
          <w:szCs w:val="28"/>
        </w:rPr>
        <w:t>项目编号：</w:t>
      </w:r>
      <w:r>
        <w:rPr>
          <w:rFonts w:ascii="宋体" w:hAnsi="宋体" w:cs="宋体"/>
          <w:sz w:val="28"/>
          <w:szCs w:val="28"/>
        </w:rPr>
        <w:t>MYQ</w:t>
      </w:r>
      <w:r>
        <w:rPr>
          <w:rFonts w:ascii="宋体" w:cs="宋体"/>
          <w:b/>
          <w:bCs/>
          <w:spacing w:val="40"/>
          <w:kern w:val="0"/>
          <w:sz w:val="32"/>
          <w:szCs w:val="32"/>
        </w:rPr>
        <w:t>-201</w:t>
      </w:r>
      <w:r>
        <w:rPr>
          <w:rFonts w:ascii="宋体" w:hAnsi="宋体" w:cs="宋体"/>
          <w:b/>
          <w:bCs/>
          <w:spacing w:val="40"/>
          <w:kern w:val="0"/>
          <w:sz w:val="32"/>
          <w:szCs w:val="32"/>
        </w:rPr>
        <w:t>8</w:t>
      </w:r>
      <w:r>
        <w:rPr>
          <w:rFonts w:ascii="宋体" w:cs="宋体"/>
          <w:b/>
          <w:bCs/>
          <w:spacing w:val="40"/>
          <w:kern w:val="0"/>
          <w:sz w:val="32"/>
          <w:szCs w:val="32"/>
        </w:rPr>
        <w:t>-00</w:t>
      </w:r>
      <w:r>
        <w:rPr>
          <w:rFonts w:ascii="宋体" w:hAnsi="宋体" w:cs="宋体"/>
          <w:b/>
          <w:bCs/>
          <w:spacing w:val="40"/>
          <w:kern w:val="0"/>
          <w:sz w:val="32"/>
          <w:szCs w:val="32"/>
        </w:rPr>
        <w:t>3</w:t>
      </w:r>
    </w:p>
    <w:p>
      <w:pPr>
        <w:spacing w:line="240" w:lineRule="atLeast"/>
        <w:ind w:right="-108"/>
        <w:jc w:val="center"/>
        <w:rPr>
          <w:rFonts w:ascii="宋体" w:cs="宋体"/>
          <w:sz w:val="36"/>
          <w:szCs w:val="36"/>
        </w:rPr>
      </w:pPr>
    </w:p>
    <w:p>
      <w:pPr>
        <w:spacing w:line="240" w:lineRule="atLeast"/>
        <w:ind w:right="-108"/>
        <w:jc w:val="center"/>
        <w:rPr>
          <w:rFonts w:ascii="宋体" w:cs="宋体"/>
          <w:sz w:val="18"/>
          <w:szCs w:val="18"/>
        </w:rPr>
      </w:pPr>
    </w:p>
    <w:p>
      <w:pPr>
        <w:snapToGrid w:val="0"/>
        <w:ind w:right="-108"/>
        <w:jc w:val="center"/>
        <w:rPr>
          <w:rFonts w:ascii="宋体" w:cs="宋体"/>
          <w:b/>
          <w:bCs/>
          <w:spacing w:val="40"/>
          <w:sz w:val="72"/>
          <w:szCs w:val="72"/>
        </w:rPr>
      </w:pPr>
    </w:p>
    <w:p>
      <w:pPr>
        <w:snapToGrid w:val="0"/>
        <w:ind w:right="-108"/>
        <w:jc w:val="center"/>
        <w:rPr>
          <w:rFonts w:ascii="宋体" w:cs="宋体"/>
          <w:b/>
          <w:bCs/>
          <w:spacing w:val="40"/>
          <w:sz w:val="72"/>
          <w:szCs w:val="72"/>
        </w:rPr>
      </w:pPr>
    </w:p>
    <w:p>
      <w:pPr>
        <w:snapToGrid w:val="0"/>
        <w:ind w:right="-108"/>
        <w:jc w:val="center"/>
        <w:rPr>
          <w:rFonts w:ascii="宋体" w:cs="宋体"/>
          <w:b/>
          <w:bCs/>
          <w:spacing w:val="40"/>
          <w:sz w:val="72"/>
          <w:szCs w:val="72"/>
        </w:rPr>
      </w:pPr>
    </w:p>
    <w:p>
      <w:pPr>
        <w:snapToGrid w:val="0"/>
        <w:ind w:right="-108"/>
        <w:jc w:val="center"/>
        <w:rPr>
          <w:rFonts w:ascii="宋体" w:cs="宋体"/>
          <w:b/>
          <w:bCs/>
          <w:spacing w:val="40"/>
          <w:sz w:val="72"/>
          <w:szCs w:val="72"/>
        </w:rPr>
      </w:pPr>
    </w:p>
    <w:p>
      <w:pPr>
        <w:ind w:right="-110"/>
        <w:rPr>
          <w:rFonts w:ascii="宋体"/>
          <w:sz w:val="15"/>
          <w:szCs w:val="15"/>
        </w:rPr>
      </w:pPr>
    </w:p>
    <w:p>
      <w:pPr>
        <w:ind w:right="-110"/>
        <w:rPr>
          <w:rFonts w:ascii="宋体"/>
          <w:sz w:val="15"/>
          <w:szCs w:val="15"/>
        </w:rPr>
      </w:pPr>
    </w:p>
    <w:p>
      <w:pPr>
        <w:ind w:right="-110"/>
        <w:rPr>
          <w:rFonts w:ascii="宋体"/>
          <w:sz w:val="15"/>
          <w:szCs w:val="15"/>
        </w:rPr>
      </w:pPr>
    </w:p>
    <w:p>
      <w:pPr>
        <w:ind w:right="-110"/>
        <w:rPr>
          <w:rFonts w:ascii="宋体"/>
          <w:sz w:val="15"/>
          <w:szCs w:val="15"/>
        </w:rPr>
      </w:pPr>
    </w:p>
    <w:p>
      <w:pPr>
        <w:ind w:right="-110"/>
        <w:rPr>
          <w:rFonts w:ascii="宋体"/>
          <w:sz w:val="15"/>
          <w:szCs w:val="15"/>
        </w:rPr>
      </w:pPr>
    </w:p>
    <w:p>
      <w:pPr>
        <w:tabs>
          <w:tab w:val="left" w:pos="5250"/>
        </w:tabs>
        <w:snapToGrid w:val="0"/>
        <w:spacing w:line="360" w:lineRule="auto"/>
        <w:jc w:val="center"/>
        <w:rPr>
          <w:rFonts w:ascii="宋体" w:cs="宋体"/>
          <w:spacing w:val="40"/>
          <w:sz w:val="28"/>
          <w:szCs w:val="28"/>
        </w:rPr>
      </w:pPr>
      <w:r>
        <w:rPr>
          <w:rFonts w:hint="eastAsia" w:ascii="宋体" w:hAnsi="宋体"/>
          <w:b/>
          <w:sz w:val="32"/>
          <w:szCs w:val="32"/>
        </w:rPr>
        <w:t>招</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人：</w:t>
      </w:r>
      <w:r>
        <w:rPr>
          <w:rFonts w:ascii="宋体" w:hAnsi="宋体"/>
          <w:b/>
          <w:sz w:val="32"/>
          <w:szCs w:val="32"/>
        </w:rPr>
        <w:t xml:space="preserve">  </w:t>
      </w:r>
      <w:r>
        <w:rPr>
          <w:rFonts w:ascii="宋体" w:hAnsi="宋体"/>
          <w:b/>
          <w:sz w:val="28"/>
          <w:szCs w:val="28"/>
        </w:rPr>
        <w:t xml:space="preserve"> </w:t>
      </w:r>
      <w:r>
        <w:rPr>
          <w:rFonts w:hint="eastAsia" w:ascii="宋体" w:hAnsi="宋体" w:cs="宋体"/>
          <w:spacing w:val="40"/>
          <w:sz w:val="28"/>
          <w:szCs w:val="28"/>
        </w:rPr>
        <w:t>杭州卖鱼桥小学</w:t>
      </w:r>
      <w:r>
        <w:rPr>
          <w:rFonts w:ascii="宋体" w:hAnsi="宋体" w:cs="宋体"/>
          <w:spacing w:val="40"/>
          <w:sz w:val="32"/>
          <w:szCs w:val="32"/>
        </w:rPr>
        <w:t xml:space="preserve">  </w:t>
      </w:r>
      <w:r>
        <w:rPr>
          <w:rFonts w:hint="eastAsia" w:ascii="宋体" w:hAnsi="宋体"/>
          <w:b/>
          <w:sz w:val="32"/>
          <w:szCs w:val="32"/>
        </w:rPr>
        <w:t>（盖章）</w:t>
      </w:r>
    </w:p>
    <w:p>
      <w:pPr>
        <w:tabs>
          <w:tab w:val="left" w:pos="5250"/>
        </w:tabs>
        <w:snapToGrid w:val="0"/>
        <w:spacing w:line="360" w:lineRule="auto"/>
        <w:jc w:val="center"/>
        <w:rPr>
          <w:rFonts w:ascii="宋体"/>
          <w:b/>
          <w:bCs/>
          <w:sz w:val="32"/>
          <w:szCs w:val="32"/>
        </w:rPr>
      </w:pPr>
      <w:r>
        <w:rPr>
          <w:rFonts w:ascii="宋体" w:hAnsi="宋体"/>
          <w:b/>
          <w:sz w:val="32"/>
          <w:szCs w:val="32"/>
        </w:rPr>
        <w:t xml:space="preserve">   2018</w:t>
      </w:r>
      <w:r>
        <w:rPr>
          <w:rFonts w:hint="eastAsia" w:ascii="宋体" w:hAnsi="宋体"/>
          <w:b/>
          <w:sz w:val="32"/>
          <w:szCs w:val="32"/>
        </w:rPr>
        <w:t>年</w:t>
      </w:r>
      <w:r>
        <w:rPr>
          <w:rFonts w:ascii="宋体" w:hAnsi="宋体"/>
          <w:b/>
          <w:sz w:val="32"/>
          <w:szCs w:val="32"/>
        </w:rPr>
        <w:t>9</w:t>
      </w:r>
      <w:r>
        <w:rPr>
          <w:rFonts w:hint="eastAsia" w:ascii="宋体" w:hAnsi="宋体"/>
          <w:b/>
          <w:sz w:val="32"/>
          <w:szCs w:val="32"/>
        </w:rPr>
        <w:t>月</w:t>
      </w:r>
      <w:r>
        <w:rPr>
          <w:rFonts w:ascii="宋体" w:hAnsi="宋体"/>
          <w:b/>
          <w:sz w:val="32"/>
          <w:szCs w:val="32"/>
        </w:rPr>
        <w:t>12</w:t>
      </w:r>
      <w:r>
        <w:rPr>
          <w:rFonts w:hint="eastAsia" w:ascii="宋体" w:hAnsi="宋体"/>
          <w:b/>
          <w:sz w:val="32"/>
          <w:szCs w:val="32"/>
        </w:rPr>
        <w:t>日</w:t>
      </w:r>
    </w:p>
    <w:p>
      <w:pPr>
        <w:jc w:val="center"/>
        <w:rPr>
          <w:sz w:val="48"/>
          <w:szCs w:val="48"/>
        </w:rPr>
      </w:pPr>
    </w:p>
    <w:p>
      <w:pPr>
        <w:jc w:val="center"/>
        <w:rPr>
          <w:sz w:val="48"/>
          <w:szCs w:val="48"/>
        </w:rPr>
      </w:pPr>
    </w:p>
    <w:p>
      <w:pPr>
        <w:jc w:val="center"/>
        <w:rPr>
          <w:sz w:val="48"/>
          <w:szCs w:val="48"/>
        </w:rPr>
      </w:pPr>
      <w:r>
        <w:rPr>
          <w:rFonts w:hint="eastAsia"/>
          <w:sz w:val="48"/>
          <w:szCs w:val="48"/>
        </w:rPr>
        <w:t>目</w:t>
      </w:r>
      <w:r>
        <w:rPr>
          <w:sz w:val="48"/>
          <w:szCs w:val="48"/>
        </w:rPr>
        <w:t xml:space="preserve"> </w:t>
      </w:r>
      <w:r>
        <w:rPr>
          <w:rFonts w:hint="eastAsia"/>
          <w:sz w:val="48"/>
          <w:szCs w:val="48"/>
        </w:rPr>
        <w:t>录</w:t>
      </w:r>
    </w:p>
    <w:p>
      <w:pPr>
        <w:pStyle w:val="8"/>
        <w:tabs>
          <w:tab w:val="right" w:leader="dot" w:pos="8296"/>
        </w:tabs>
        <w:spacing w:line="720" w:lineRule="auto"/>
        <w:rPr>
          <w:sz w:val="32"/>
          <w:szCs w:val="32"/>
        </w:rPr>
      </w:pPr>
      <w:r>
        <w:rPr>
          <w:sz w:val="32"/>
          <w:szCs w:val="32"/>
        </w:rPr>
        <w:fldChar w:fldCharType="begin"/>
      </w:r>
      <w:r>
        <w:rPr>
          <w:sz w:val="32"/>
          <w:szCs w:val="32"/>
        </w:rPr>
        <w:instrText xml:space="preserve"> TOC \o "1-1" \h \z \u </w:instrText>
      </w:r>
      <w:r>
        <w:rPr>
          <w:sz w:val="32"/>
          <w:szCs w:val="32"/>
        </w:rPr>
        <w:fldChar w:fldCharType="separate"/>
      </w:r>
    </w:p>
    <w:p>
      <w:pPr>
        <w:pStyle w:val="8"/>
        <w:tabs>
          <w:tab w:val="right" w:leader="dot" w:pos="8296"/>
        </w:tabs>
        <w:spacing w:line="720" w:lineRule="auto"/>
        <w:rPr>
          <w:sz w:val="32"/>
          <w:szCs w:val="32"/>
        </w:rPr>
      </w:pPr>
      <w:r>
        <w:fldChar w:fldCharType="begin"/>
      </w:r>
      <w:r>
        <w:instrText xml:space="preserve"> HYPERLINK "file:///G:\\2016科普营\\" \l "_Toc416249131#_Toc416249131" </w:instrText>
      </w:r>
      <w:r>
        <w:fldChar w:fldCharType="separate"/>
      </w:r>
      <w:r>
        <w:rPr>
          <w:rStyle w:val="14"/>
          <w:rFonts w:hint="eastAsia"/>
          <w:sz w:val="32"/>
          <w:szCs w:val="32"/>
        </w:rPr>
        <w:t>第一章</w:t>
      </w:r>
      <w:r>
        <w:rPr>
          <w:rStyle w:val="14"/>
          <w:sz w:val="32"/>
          <w:szCs w:val="32"/>
        </w:rPr>
        <w:t xml:space="preserve">  </w:t>
      </w:r>
      <w:r>
        <w:rPr>
          <w:rStyle w:val="14"/>
          <w:rFonts w:hint="eastAsia"/>
          <w:sz w:val="32"/>
          <w:szCs w:val="32"/>
        </w:rPr>
        <w:t>公开招标公</w:t>
      </w:r>
      <w:bookmarkStart w:id="9" w:name="_GoBack"/>
      <w:bookmarkEnd w:id="9"/>
      <w:r>
        <w:rPr>
          <w:rStyle w:val="14"/>
          <w:rFonts w:hint="eastAsia"/>
          <w:sz w:val="32"/>
          <w:szCs w:val="32"/>
        </w:rPr>
        <w:t>告</w:t>
      </w:r>
      <w:r>
        <w:rPr>
          <w:rStyle w:val="14"/>
          <w:sz w:val="32"/>
          <w:szCs w:val="32"/>
        </w:rPr>
        <w:tab/>
      </w:r>
      <w:r>
        <w:rPr>
          <w:rStyle w:val="14"/>
          <w:sz w:val="32"/>
          <w:szCs w:val="32"/>
        </w:rPr>
        <w:fldChar w:fldCharType="begin"/>
      </w:r>
      <w:r>
        <w:rPr>
          <w:rStyle w:val="14"/>
          <w:sz w:val="32"/>
          <w:szCs w:val="32"/>
        </w:rPr>
        <w:instrText xml:space="preserve"> PAGEREF _Toc416249131 \h </w:instrText>
      </w:r>
      <w:r>
        <w:rPr>
          <w:rStyle w:val="14"/>
          <w:sz w:val="32"/>
          <w:szCs w:val="32"/>
        </w:rPr>
        <w:fldChar w:fldCharType="separate"/>
      </w:r>
      <w:r>
        <w:rPr>
          <w:rStyle w:val="14"/>
          <w:sz w:val="32"/>
          <w:szCs w:val="32"/>
        </w:rPr>
        <w:t>3</w:t>
      </w:r>
      <w:r>
        <w:rPr>
          <w:rStyle w:val="14"/>
          <w:sz w:val="32"/>
          <w:szCs w:val="32"/>
        </w:rPr>
        <w:fldChar w:fldCharType="end"/>
      </w:r>
      <w:r>
        <w:rPr>
          <w:rStyle w:val="14"/>
          <w:sz w:val="32"/>
          <w:szCs w:val="32"/>
        </w:rPr>
        <w:fldChar w:fldCharType="end"/>
      </w:r>
    </w:p>
    <w:p>
      <w:pPr>
        <w:pStyle w:val="8"/>
        <w:tabs>
          <w:tab w:val="right" w:leader="dot" w:pos="8296"/>
        </w:tabs>
        <w:spacing w:line="720" w:lineRule="auto"/>
        <w:rPr>
          <w:sz w:val="32"/>
          <w:szCs w:val="32"/>
        </w:rPr>
      </w:pPr>
      <w:r>
        <w:fldChar w:fldCharType="begin"/>
      </w:r>
      <w:r>
        <w:instrText xml:space="preserve"> HYPERLINK "file:///G:\\2016科普营\\" \l "_Toc416249132#_Toc416249132" </w:instrText>
      </w:r>
      <w:r>
        <w:fldChar w:fldCharType="separate"/>
      </w:r>
      <w:r>
        <w:rPr>
          <w:rStyle w:val="14"/>
          <w:rFonts w:hint="eastAsia"/>
          <w:sz w:val="32"/>
          <w:szCs w:val="32"/>
        </w:rPr>
        <w:t>第二章</w:t>
      </w:r>
      <w:r>
        <w:rPr>
          <w:rStyle w:val="14"/>
          <w:sz w:val="32"/>
          <w:szCs w:val="32"/>
        </w:rPr>
        <w:t xml:space="preserve">  </w:t>
      </w:r>
      <w:r>
        <w:rPr>
          <w:rStyle w:val="14"/>
          <w:rFonts w:hint="eastAsia"/>
          <w:sz w:val="32"/>
          <w:szCs w:val="32"/>
        </w:rPr>
        <w:t>招标需求</w:t>
      </w:r>
      <w:r>
        <w:rPr>
          <w:rStyle w:val="14"/>
          <w:sz w:val="32"/>
          <w:szCs w:val="32"/>
        </w:rPr>
        <w:tab/>
      </w:r>
      <w:r>
        <w:rPr>
          <w:rStyle w:val="14"/>
          <w:sz w:val="32"/>
          <w:szCs w:val="32"/>
        </w:rPr>
        <w:fldChar w:fldCharType="begin"/>
      </w:r>
      <w:r>
        <w:rPr>
          <w:rStyle w:val="14"/>
          <w:sz w:val="32"/>
          <w:szCs w:val="32"/>
        </w:rPr>
        <w:instrText xml:space="preserve"> PAGEREF _Toc416249132 \h </w:instrText>
      </w:r>
      <w:r>
        <w:rPr>
          <w:rStyle w:val="14"/>
          <w:sz w:val="32"/>
          <w:szCs w:val="32"/>
        </w:rPr>
        <w:fldChar w:fldCharType="separate"/>
      </w:r>
      <w:r>
        <w:rPr>
          <w:rStyle w:val="14"/>
          <w:sz w:val="32"/>
          <w:szCs w:val="32"/>
        </w:rPr>
        <w:t>4</w:t>
      </w:r>
      <w:r>
        <w:rPr>
          <w:rStyle w:val="14"/>
          <w:sz w:val="32"/>
          <w:szCs w:val="32"/>
        </w:rPr>
        <w:fldChar w:fldCharType="end"/>
      </w:r>
      <w:r>
        <w:rPr>
          <w:rStyle w:val="14"/>
          <w:sz w:val="32"/>
          <w:szCs w:val="32"/>
        </w:rPr>
        <w:fldChar w:fldCharType="end"/>
      </w:r>
    </w:p>
    <w:p>
      <w:pPr>
        <w:pStyle w:val="8"/>
        <w:tabs>
          <w:tab w:val="right" w:leader="dot" w:pos="8296"/>
        </w:tabs>
        <w:spacing w:line="720" w:lineRule="auto"/>
        <w:rPr>
          <w:sz w:val="32"/>
          <w:szCs w:val="32"/>
        </w:rPr>
      </w:pPr>
      <w:r>
        <w:fldChar w:fldCharType="begin"/>
      </w:r>
      <w:r>
        <w:instrText xml:space="preserve"> HYPERLINK "file:///G:\\2016科普营\\" \l "_Toc416249133#_Toc416249133" </w:instrText>
      </w:r>
      <w:r>
        <w:fldChar w:fldCharType="separate"/>
      </w:r>
      <w:r>
        <w:rPr>
          <w:rStyle w:val="14"/>
          <w:rFonts w:hint="eastAsia"/>
          <w:sz w:val="32"/>
          <w:szCs w:val="32"/>
        </w:rPr>
        <w:t>第三章</w:t>
      </w:r>
      <w:r>
        <w:rPr>
          <w:rStyle w:val="14"/>
          <w:sz w:val="32"/>
          <w:szCs w:val="32"/>
        </w:rPr>
        <w:t xml:space="preserve">  </w:t>
      </w:r>
      <w:r>
        <w:rPr>
          <w:rStyle w:val="14"/>
          <w:rFonts w:hint="eastAsia"/>
          <w:sz w:val="32"/>
          <w:szCs w:val="32"/>
        </w:rPr>
        <w:t>投标人须知</w:t>
      </w:r>
      <w:r>
        <w:rPr>
          <w:rStyle w:val="14"/>
          <w:sz w:val="32"/>
          <w:szCs w:val="32"/>
        </w:rPr>
        <w:tab/>
      </w:r>
      <w:r>
        <w:rPr>
          <w:rStyle w:val="14"/>
          <w:sz w:val="32"/>
          <w:szCs w:val="32"/>
        </w:rPr>
        <w:fldChar w:fldCharType="begin"/>
      </w:r>
      <w:r>
        <w:rPr>
          <w:rStyle w:val="14"/>
          <w:sz w:val="32"/>
          <w:szCs w:val="32"/>
        </w:rPr>
        <w:instrText xml:space="preserve"> PAGEREF _Toc416249133 \h </w:instrText>
      </w:r>
      <w:r>
        <w:rPr>
          <w:rStyle w:val="14"/>
          <w:sz w:val="32"/>
          <w:szCs w:val="32"/>
        </w:rPr>
        <w:fldChar w:fldCharType="separate"/>
      </w:r>
      <w:r>
        <w:rPr>
          <w:rStyle w:val="14"/>
          <w:sz w:val="32"/>
          <w:szCs w:val="32"/>
        </w:rPr>
        <w:t>4</w:t>
      </w:r>
      <w:r>
        <w:rPr>
          <w:rStyle w:val="14"/>
          <w:sz w:val="32"/>
          <w:szCs w:val="32"/>
        </w:rPr>
        <w:fldChar w:fldCharType="end"/>
      </w:r>
      <w:r>
        <w:rPr>
          <w:rStyle w:val="14"/>
          <w:sz w:val="32"/>
          <w:szCs w:val="32"/>
        </w:rPr>
        <w:fldChar w:fldCharType="end"/>
      </w:r>
    </w:p>
    <w:p>
      <w:pPr>
        <w:pStyle w:val="8"/>
        <w:tabs>
          <w:tab w:val="right" w:leader="dot" w:pos="8296"/>
        </w:tabs>
        <w:spacing w:line="720" w:lineRule="auto"/>
        <w:rPr>
          <w:sz w:val="32"/>
          <w:szCs w:val="32"/>
        </w:rPr>
      </w:pPr>
      <w:r>
        <w:fldChar w:fldCharType="begin"/>
      </w:r>
      <w:r>
        <w:instrText xml:space="preserve"> HYPERLINK "file:///G:\\2016科普营\\" \l "_Toc416249141#_Toc416249141" </w:instrText>
      </w:r>
      <w:r>
        <w:fldChar w:fldCharType="separate"/>
      </w:r>
      <w:r>
        <w:rPr>
          <w:rStyle w:val="14"/>
          <w:rFonts w:hint="eastAsia"/>
          <w:sz w:val="32"/>
          <w:szCs w:val="32"/>
        </w:rPr>
        <w:t>第四章</w:t>
      </w:r>
      <w:r>
        <w:rPr>
          <w:rStyle w:val="14"/>
          <w:sz w:val="32"/>
          <w:szCs w:val="32"/>
        </w:rPr>
        <w:t xml:space="preserve">  </w:t>
      </w:r>
      <w:r>
        <w:rPr>
          <w:rStyle w:val="14"/>
          <w:rFonts w:hint="eastAsia"/>
          <w:sz w:val="32"/>
          <w:szCs w:val="32"/>
        </w:rPr>
        <w:t>评标办法及评分标准</w:t>
      </w:r>
      <w:r>
        <w:rPr>
          <w:rStyle w:val="14"/>
          <w:sz w:val="32"/>
          <w:szCs w:val="32"/>
        </w:rPr>
        <w:tab/>
      </w:r>
      <w:r>
        <w:rPr>
          <w:rStyle w:val="14"/>
          <w:sz w:val="32"/>
          <w:szCs w:val="32"/>
        </w:rPr>
        <w:fldChar w:fldCharType="begin"/>
      </w:r>
      <w:r>
        <w:rPr>
          <w:rStyle w:val="14"/>
          <w:sz w:val="32"/>
          <w:szCs w:val="32"/>
        </w:rPr>
        <w:instrText xml:space="preserve"> PAGEREF _Toc416249141 \h </w:instrText>
      </w:r>
      <w:r>
        <w:rPr>
          <w:rStyle w:val="14"/>
          <w:sz w:val="32"/>
          <w:szCs w:val="32"/>
        </w:rPr>
        <w:fldChar w:fldCharType="separate"/>
      </w:r>
      <w:r>
        <w:rPr>
          <w:rStyle w:val="14"/>
          <w:sz w:val="32"/>
          <w:szCs w:val="32"/>
        </w:rPr>
        <w:t>9</w:t>
      </w:r>
      <w:r>
        <w:rPr>
          <w:rStyle w:val="14"/>
          <w:sz w:val="32"/>
          <w:szCs w:val="32"/>
        </w:rPr>
        <w:fldChar w:fldCharType="end"/>
      </w:r>
      <w:r>
        <w:rPr>
          <w:rStyle w:val="14"/>
          <w:sz w:val="32"/>
          <w:szCs w:val="32"/>
        </w:rPr>
        <w:fldChar w:fldCharType="end"/>
      </w:r>
    </w:p>
    <w:p>
      <w:pPr>
        <w:pStyle w:val="8"/>
        <w:tabs>
          <w:tab w:val="right" w:leader="dot" w:pos="8296"/>
        </w:tabs>
        <w:spacing w:line="720" w:lineRule="auto"/>
        <w:rPr>
          <w:sz w:val="32"/>
          <w:szCs w:val="32"/>
        </w:rPr>
      </w:pPr>
      <w:r>
        <w:fldChar w:fldCharType="begin"/>
      </w:r>
      <w:r>
        <w:instrText xml:space="preserve"> HYPERLINK "file:///G:\\2016科普营\\" \l "_Toc416249142#_Toc416249142" </w:instrText>
      </w:r>
      <w:r>
        <w:fldChar w:fldCharType="separate"/>
      </w:r>
      <w:r>
        <w:rPr>
          <w:rStyle w:val="14"/>
          <w:rFonts w:hint="eastAsia"/>
          <w:sz w:val="32"/>
          <w:szCs w:val="32"/>
        </w:rPr>
        <w:t>第五章</w:t>
      </w:r>
      <w:r>
        <w:rPr>
          <w:rStyle w:val="14"/>
          <w:sz w:val="32"/>
          <w:szCs w:val="32"/>
        </w:rPr>
        <w:t xml:space="preserve">  </w:t>
      </w:r>
      <w:r>
        <w:rPr>
          <w:rStyle w:val="14"/>
          <w:rFonts w:hint="eastAsia"/>
          <w:sz w:val="32"/>
          <w:szCs w:val="32"/>
        </w:rPr>
        <w:t>合同范本</w:t>
      </w:r>
      <w:r>
        <w:rPr>
          <w:rStyle w:val="14"/>
          <w:sz w:val="32"/>
          <w:szCs w:val="32"/>
        </w:rPr>
        <w:tab/>
      </w:r>
      <w:r>
        <w:rPr>
          <w:rStyle w:val="14"/>
          <w:sz w:val="32"/>
          <w:szCs w:val="32"/>
        </w:rPr>
        <w:fldChar w:fldCharType="begin"/>
      </w:r>
      <w:r>
        <w:rPr>
          <w:rStyle w:val="14"/>
          <w:sz w:val="32"/>
          <w:szCs w:val="32"/>
        </w:rPr>
        <w:instrText xml:space="preserve"> PAGEREF _Toc416249142 \h </w:instrText>
      </w:r>
      <w:r>
        <w:rPr>
          <w:rStyle w:val="14"/>
          <w:sz w:val="32"/>
          <w:szCs w:val="32"/>
        </w:rPr>
        <w:fldChar w:fldCharType="separate"/>
      </w:r>
      <w:r>
        <w:rPr>
          <w:rStyle w:val="14"/>
          <w:sz w:val="32"/>
          <w:szCs w:val="32"/>
        </w:rPr>
        <w:t>12</w:t>
      </w:r>
      <w:r>
        <w:rPr>
          <w:rStyle w:val="14"/>
          <w:sz w:val="32"/>
          <w:szCs w:val="32"/>
        </w:rPr>
        <w:fldChar w:fldCharType="end"/>
      </w:r>
      <w:r>
        <w:rPr>
          <w:rStyle w:val="14"/>
          <w:sz w:val="32"/>
          <w:szCs w:val="32"/>
        </w:rPr>
        <w:fldChar w:fldCharType="end"/>
      </w:r>
    </w:p>
    <w:p>
      <w:pPr>
        <w:pStyle w:val="8"/>
        <w:tabs>
          <w:tab w:val="right" w:leader="dot" w:pos="8296"/>
        </w:tabs>
        <w:spacing w:line="720" w:lineRule="auto"/>
        <w:rPr>
          <w:sz w:val="32"/>
          <w:szCs w:val="32"/>
        </w:rPr>
      </w:pPr>
      <w:r>
        <w:fldChar w:fldCharType="begin"/>
      </w:r>
      <w:r>
        <w:instrText xml:space="preserve"> HYPERLINK "file:///G:\\2016科普营\\" \l "_Toc416249143#_Toc416249143" </w:instrText>
      </w:r>
      <w:r>
        <w:fldChar w:fldCharType="separate"/>
      </w:r>
      <w:r>
        <w:rPr>
          <w:rStyle w:val="14"/>
          <w:rFonts w:hint="eastAsia"/>
          <w:sz w:val="32"/>
          <w:szCs w:val="32"/>
        </w:rPr>
        <w:t>第六章　投标文件格式</w:t>
      </w:r>
      <w:r>
        <w:rPr>
          <w:rStyle w:val="14"/>
          <w:sz w:val="32"/>
          <w:szCs w:val="32"/>
        </w:rPr>
        <w:tab/>
      </w:r>
      <w:r>
        <w:rPr>
          <w:rStyle w:val="14"/>
          <w:sz w:val="32"/>
          <w:szCs w:val="32"/>
        </w:rPr>
        <w:fldChar w:fldCharType="begin"/>
      </w:r>
      <w:r>
        <w:rPr>
          <w:rStyle w:val="14"/>
          <w:sz w:val="32"/>
          <w:szCs w:val="32"/>
        </w:rPr>
        <w:instrText xml:space="preserve"> PAGEREF _Toc416249143 \h </w:instrText>
      </w:r>
      <w:r>
        <w:rPr>
          <w:rStyle w:val="14"/>
          <w:sz w:val="32"/>
          <w:szCs w:val="32"/>
        </w:rPr>
        <w:fldChar w:fldCharType="separate"/>
      </w:r>
      <w:r>
        <w:rPr>
          <w:rStyle w:val="14"/>
          <w:sz w:val="32"/>
          <w:szCs w:val="32"/>
        </w:rPr>
        <w:t>13</w:t>
      </w:r>
      <w:r>
        <w:rPr>
          <w:rStyle w:val="14"/>
          <w:sz w:val="32"/>
          <w:szCs w:val="32"/>
        </w:rPr>
        <w:fldChar w:fldCharType="end"/>
      </w:r>
      <w:r>
        <w:rPr>
          <w:rStyle w:val="14"/>
          <w:sz w:val="32"/>
          <w:szCs w:val="32"/>
        </w:rPr>
        <w:fldChar w:fldCharType="end"/>
      </w:r>
    </w:p>
    <w:p>
      <w:pPr>
        <w:spacing w:line="720" w:lineRule="auto"/>
      </w:pPr>
      <w:r>
        <w:rPr>
          <w:sz w:val="32"/>
          <w:szCs w:val="32"/>
        </w:rPr>
        <w:fldChar w:fldCharType="end"/>
      </w:r>
    </w:p>
    <w:p>
      <w:pPr>
        <w:widowControl/>
        <w:ind w:firstLine="722" w:firstLineChars="200"/>
        <w:jc w:val="left"/>
        <w:rPr>
          <w:rFonts w:ascii="宋体" w:cs="宋体"/>
          <w:b/>
          <w:spacing w:val="40"/>
          <w:sz w:val="28"/>
          <w:szCs w:val="28"/>
        </w:rPr>
      </w:pPr>
      <w:bookmarkStart w:id="2" w:name="_Toc416249131"/>
    </w:p>
    <w:p>
      <w:pPr>
        <w:widowControl/>
        <w:ind w:firstLine="722" w:firstLineChars="200"/>
        <w:jc w:val="left"/>
        <w:rPr>
          <w:rFonts w:ascii="宋体" w:cs="宋体"/>
          <w:b/>
          <w:spacing w:val="40"/>
          <w:sz w:val="28"/>
          <w:szCs w:val="28"/>
        </w:rPr>
      </w:pPr>
    </w:p>
    <w:p>
      <w:pPr>
        <w:widowControl/>
        <w:ind w:firstLine="722" w:firstLineChars="200"/>
        <w:jc w:val="left"/>
        <w:rPr>
          <w:rFonts w:ascii="宋体" w:cs="宋体"/>
          <w:b/>
          <w:spacing w:val="40"/>
          <w:sz w:val="28"/>
          <w:szCs w:val="28"/>
        </w:rPr>
      </w:pPr>
    </w:p>
    <w:p>
      <w:pPr>
        <w:widowControl/>
        <w:ind w:firstLine="722" w:firstLineChars="200"/>
        <w:jc w:val="left"/>
        <w:rPr>
          <w:rFonts w:ascii="宋体" w:cs="宋体"/>
          <w:b/>
          <w:spacing w:val="40"/>
          <w:sz w:val="28"/>
          <w:szCs w:val="28"/>
        </w:rPr>
      </w:pPr>
    </w:p>
    <w:p>
      <w:pPr>
        <w:widowControl/>
        <w:ind w:firstLine="722" w:firstLineChars="200"/>
        <w:jc w:val="left"/>
        <w:rPr>
          <w:rFonts w:ascii="宋体" w:cs="宋体"/>
          <w:b/>
          <w:spacing w:val="40"/>
          <w:sz w:val="28"/>
          <w:szCs w:val="28"/>
        </w:rPr>
      </w:pPr>
    </w:p>
    <w:p>
      <w:pPr>
        <w:widowControl/>
        <w:ind w:firstLine="722" w:firstLineChars="200"/>
        <w:jc w:val="left"/>
        <w:rPr>
          <w:rFonts w:ascii="宋体" w:cs="宋体"/>
          <w:b/>
          <w:spacing w:val="40"/>
          <w:sz w:val="28"/>
          <w:szCs w:val="28"/>
        </w:rPr>
      </w:pPr>
    </w:p>
    <w:p>
      <w:pPr>
        <w:widowControl/>
        <w:ind w:firstLine="722" w:firstLineChars="200"/>
        <w:jc w:val="left"/>
        <w:rPr>
          <w:rFonts w:ascii="宋体" w:cs="宋体"/>
          <w:b/>
          <w:spacing w:val="40"/>
          <w:sz w:val="28"/>
          <w:szCs w:val="28"/>
        </w:rPr>
      </w:pPr>
    </w:p>
    <w:p>
      <w:pPr>
        <w:widowControl/>
        <w:ind w:firstLine="722" w:firstLineChars="200"/>
        <w:jc w:val="left"/>
        <w:rPr>
          <w:rFonts w:ascii="宋体" w:cs="宋体"/>
          <w:b/>
          <w:spacing w:val="40"/>
          <w:sz w:val="28"/>
          <w:szCs w:val="28"/>
        </w:rPr>
      </w:pPr>
    </w:p>
    <w:p>
      <w:pPr>
        <w:widowControl/>
        <w:ind w:firstLine="722" w:firstLineChars="200"/>
        <w:jc w:val="left"/>
        <w:rPr>
          <w:rFonts w:ascii="宋体" w:cs="宋体"/>
          <w:b/>
          <w:spacing w:val="40"/>
          <w:sz w:val="28"/>
          <w:szCs w:val="28"/>
        </w:rPr>
      </w:pPr>
    </w:p>
    <w:p>
      <w:pPr>
        <w:widowControl/>
        <w:ind w:firstLine="722" w:firstLineChars="200"/>
        <w:jc w:val="center"/>
        <w:rPr>
          <w:b/>
          <w:sz w:val="28"/>
          <w:szCs w:val="28"/>
        </w:rPr>
      </w:pPr>
      <w:r>
        <w:rPr>
          <w:rFonts w:ascii="宋体" w:hAnsi="宋体" w:cs="宋体"/>
          <w:b/>
          <w:spacing w:val="40"/>
          <w:sz w:val="28"/>
          <w:szCs w:val="28"/>
        </w:rPr>
        <w:t>2018</w:t>
      </w:r>
      <w:r>
        <w:rPr>
          <w:rFonts w:hint="eastAsia" w:ascii="宋体" w:hAnsi="宋体" w:cs="宋体"/>
          <w:b/>
          <w:spacing w:val="40"/>
          <w:sz w:val="28"/>
          <w:szCs w:val="28"/>
        </w:rPr>
        <w:t>杭州市卖鱼桥小学教职工疗休养项目招标</w:t>
      </w:r>
      <w:r>
        <w:rPr>
          <w:rFonts w:hint="eastAsia" w:ascii="宋体" w:hAnsi="宋体" w:cs="宋体"/>
          <w:b/>
          <w:sz w:val="28"/>
          <w:szCs w:val="28"/>
        </w:rPr>
        <w:t>公告</w:t>
      </w:r>
      <w:bookmarkEnd w:id="2"/>
    </w:p>
    <w:p>
      <w:pPr>
        <w:pStyle w:val="36"/>
        <w:widowControl w:val="0"/>
        <w:spacing w:line="360" w:lineRule="exact"/>
        <w:ind w:firstLine="420"/>
        <w:rPr>
          <w:rFonts w:ascii="宋体"/>
          <w:sz w:val="21"/>
          <w:szCs w:val="21"/>
        </w:rPr>
      </w:pPr>
      <w:r>
        <w:rPr>
          <w:rFonts w:hint="eastAsia" w:ascii="宋体" w:hAnsi="宋体"/>
          <w:sz w:val="21"/>
          <w:szCs w:val="21"/>
        </w:rPr>
        <w:t>根据《中华人民共和国政府采购法》、《政府采购货物和服务招标投标管理办法》等规定，“</w:t>
      </w:r>
      <w:r>
        <w:rPr>
          <w:rFonts w:ascii="宋体" w:hAnsi="宋体" w:cs="宋体"/>
          <w:spacing w:val="40"/>
          <w:sz w:val="21"/>
          <w:szCs w:val="21"/>
        </w:rPr>
        <w:t xml:space="preserve"> 2018</w:t>
      </w:r>
      <w:r>
        <w:rPr>
          <w:rFonts w:hint="eastAsia" w:ascii="宋体" w:hAnsi="宋体" w:cs="宋体"/>
          <w:spacing w:val="40"/>
          <w:sz w:val="21"/>
          <w:szCs w:val="21"/>
        </w:rPr>
        <w:t>杭州市卖鱼桥小学教职工疗休养项目</w:t>
      </w:r>
      <w:r>
        <w:rPr>
          <w:rFonts w:hint="eastAsia" w:ascii="宋体" w:hAnsi="宋体"/>
          <w:sz w:val="21"/>
          <w:szCs w:val="21"/>
        </w:rPr>
        <w:t>”采购活动已经列入本单位</w:t>
      </w:r>
      <w:r>
        <w:rPr>
          <w:rFonts w:ascii="宋体" w:hAnsi="宋体"/>
          <w:sz w:val="21"/>
          <w:szCs w:val="21"/>
        </w:rPr>
        <w:t>2018</w:t>
      </w:r>
      <w:r>
        <w:rPr>
          <w:rFonts w:hint="eastAsia" w:ascii="宋体" w:hAnsi="宋体"/>
          <w:sz w:val="21"/>
          <w:szCs w:val="21"/>
        </w:rPr>
        <w:t>年度预算，采购资金拱墅区教育局批准。现针对项目进行公开招标，欢迎符合资格要求的供应商前来投标。</w:t>
      </w:r>
    </w:p>
    <w:p>
      <w:pPr>
        <w:numPr>
          <w:ilvl w:val="0"/>
          <w:numId w:val="1"/>
        </w:numPr>
        <w:snapToGrid w:val="0"/>
        <w:spacing w:line="420" w:lineRule="exact"/>
        <w:ind w:firstLine="422"/>
        <w:rPr>
          <w:rFonts w:ascii="宋体" w:cs="Arial"/>
          <w:b/>
          <w:bCs/>
          <w:szCs w:val="21"/>
        </w:rPr>
      </w:pPr>
      <w:r>
        <w:rPr>
          <w:rFonts w:hint="eastAsia" w:ascii="宋体" w:hAnsi="宋体" w:cs="Arial"/>
          <w:b/>
          <w:bCs/>
          <w:szCs w:val="21"/>
        </w:rPr>
        <w:t>项目编号：</w:t>
      </w:r>
      <w:r>
        <w:rPr>
          <w:rFonts w:ascii="宋体" w:hAnsi="宋体" w:cs="Arial"/>
          <w:b/>
          <w:bCs/>
          <w:szCs w:val="21"/>
        </w:rPr>
        <w:t>MYQ -2018</w:t>
      </w:r>
      <w:r>
        <w:rPr>
          <w:rFonts w:ascii="宋体" w:cs="Arial"/>
          <w:b/>
          <w:bCs/>
          <w:szCs w:val="21"/>
        </w:rPr>
        <w:t>-00</w:t>
      </w:r>
      <w:r>
        <w:rPr>
          <w:rFonts w:ascii="宋体" w:hAnsi="宋体" w:cs="Arial"/>
          <w:b/>
          <w:bCs/>
          <w:szCs w:val="21"/>
        </w:rPr>
        <w:t>3</w:t>
      </w:r>
    </w:p>
    <w:p>
      <w:pPr>
        <w:snapToGrid w:val="0"/>
        <w:spacing w:line="420" w:lineRule="exact"/>
        <w:ind w:firstLine="422" w:firstLineChars="200"/>
        <w:rPr>
          <w:rFonts w:ascii="宋体" w:cs="Arial"/>
          <w:bCs/>
          <w:szCs w:val="21"/>
        </w:rPr>
      </w:pPr>
      <w:r>
        <w:rPr>
          <w:rFonts w:hint="eastAsia" w:ascii="宋体" w:hAnsi="宋体" w:cs="Arial"/>
          <w:b/>
          <w:bCs/>
          <w:szCs w:val="21"/>
        </w:rPr>
        <w:t>二、采购方式：</w:t>
      </w:r>
      <w:r>
        <w:rPr>
          <w:rFonts w:hint="eastAsia" w:ascii="宋体" w:hAnsi="宋体" w:cs="Arial"/>
          <w:bCs/>
          <w:szCs w:val="21"/>
        </w:rPr>
        <w:t>公开招标</w:t>
      </w:r>
    </w:p>
    <w:p>
      <w:pPr>
        <w:snapToGrid w:val="0"/>
        <w:spacing w:line="420" w:lineRule="exact"/>
        <w:ind w:firstLine="422" w:firstLineChars="200"/>
        <w:rPr>
          <w:rFonts w:ascii="宋体" w:cs="Arial"/>
          <w:b/>
          <w:bCs/>
          <w:szCs w:val="21"/>
        </w:rPr>
      </w:pPr>
      <w:r>
        <w:rPr>
          <w:rFonts w:hint="eastAsia" w:ascii="宋体" w:hAnsi="宋体" w:cs="Arial"/>
          <w:b/>
          <w:bCs/>
          <w:szCs w:val="21"/>
        </w:rPr>
        <w:t>三、采购内容：</w:t>
      </w:r>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2"/>
        <w:gridCol w:w="3640"/>
        <w:gridCol w:w="896"/>
        <w:gridCol w:w="850"/>
        <w:gridCol w:w="1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jc w:val="center"/>
        </w:trPr>
        <w:tc>
          <w:tcPr>
            <w:tcW w:w="992"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cs="Arial"/>
                <w:bCs/>
                <w:szCs w:val="21"/>
              </w:rPr>
            </w:pPr>
            <w:r>
              <w:rPr>
                <w:rFonts w:hint="eastAsia" w:ascii="宋体" w:hAnsi="宋体" w:cs="Arial"/>
                <w:bCs/>
                <w:szCs w:val="21"/>
              </w:rPr>
              <w:t>序号</w:t>
            </w:r>
          </w:p>
        </w:tc>
        <w:tc>
          <w:tcPr>
            <w:tcW w:w="3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Arial"/>
                <w:bCs/>
                <w:szCs w:val="21"/>
              </w:rPr>
            </w:pPr>
            <w:r>
              <w:rPr>
                <w:rFonts w:hint="eastAsia" w:ascii="宋体" w:hAnsi="宋体" w:cs="Arial"/>
                <w:bCs/>
                <w:szCs w:val="21"/>
              </w:rPr>
              <w:t>采购内容</w:t>
            </w:r>
          </w:p>
        </w:tc>
        <w:tc>
          <w:tcPr>
            <w:tcW w:w="8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Arial"/>
                <w:bCs/>
                <w:szCs w:val="21"/>
              </w:rPr>
            </w:pPr>
            <w:r>
              <w:rPr>
                <w:rFonts w:hint="eastAsia" w:ascii="宋体" w:hAnsi="宋体" w:cs="Arial"/>
                <w:bCs/>
                <w:szCs w:val="21"/>
              </w:rPr>
              <w:t>单位</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Arial"/>
                <w:bCs/>
                <w:szCs w:val="21"/>
              </w:rPr>
            </w:pPr>
            <w:r>
              <w:rPr>
                <w:rFonts w:hint="eastAsia" w:ascii="宋体" w:hAnsi="宋体" w:cs="Arial"/>
                <w:bCs/>
                <w:szCs w:val="21"/>
              </w:rPr>
              <w:t>数量</w:t>
            </w:r>
          </w:p>
        </w:tc>
        <w:tc>
          <w:tcPr>
            <w:tcW w:w="1835" w:type="dxa"/>
            <w:tcBorders>
              <w:top w:val="single" w:color="auto" w:sz="4" w:space="0"/>
              <w:left w:val="single" w:color="auto" w:sz="4" w:space="0"/>
              <w:bottom w:val="single" w:color="auto" w:sz="4" w:space="0"/>
            </w:tcBorders>
            <w:vAlign w:val="center"/>
          </w:tcPr>
          <w:p>
            <w:pPr>
              <w:snapToGrid w:val="0"/>
              <w:spacing w:line="360" w:lineRule="exact"/>
              <w:jc w:val="center"/>
              <w:rPr>
                <w:rFonts w:ascii="宋体" w:cs="Arial"/>
                <w:bCs/>
                <w:szCs w:val="21"/>
              </w:rPr>
            </w:pPr>
            <w:r>
              <w:rPr>
                <w:rFonts w:hint="eastAsia" w:ascii="宋体" w:hAnsi="宋体" w:cs="Arial"/>
                <w:bCs/>
                <w:szCs w:val="21"/>
              </w:rPr>
              <w:t>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992"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cs="Arial"/>
                <w:bCs/>
                <w:szCs w:val="21"/>
              </w:rPr>
            </w:pPr>
            <w:r>
              <w:rPr>
                <w:rFonts w:ascii="宋体" w:hAnsi="宋体" w:cs="Arial"/>
                <w:bCs/>
                <w:szCs w:val="21"/>
              </w:rPr>
              <w:t>1</w:t>
            </w:r>
          </w:p>
        </w:tc>
        <w:tc>
          <w:tcPr>
            <w:tcW w:w="3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Arial"/>
                <w:bCs/>
                <w:szCs w:val="21"/>
              </w:rPr>
            </w:pPr>
            <w:r>
              <w:rPr>
                <w:rFonts w:ascii="宋体" w:hAnsi="宋体" w:cs="Arial"/>
                <w:bCs/>
                <w:szCs w:val="21"/>
              </w:rPr>
              <w:t>2018</w:t>
            </w:r>
            <w:r>
              <w:rPr>
                <w:rFonts w:hint="eastAsia" w:ascii="宋体" w:hAnsi="宋体" w:cs="Arial"/>
                <w:bCs/>
                <w:szCs w:val="21"/>
              </w:rPr>
              <w:t>杭州市卖鱼桥小学</w:t>
            </w:r>
            <w:r>
              <w:rPr>
                <w:rFonts w:hint="eastAsia" w:ascii="宋体" w:hAnsi="宋体" w:cs="宋体"/>
                <w:spacing w:val="40"/>
                <w:szCs w:val="21"/>
              </w:rPr>
              <w:t>教职工疗休养项目</w:t>
            </w:r>
          </w:p>
        </w:tc>
        <w:tc>
          <w:tcPr>
            <w:tcW w:w="8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Arial"/>
                <w:bCs/>
                <w:szCs w:val="21"/>
              </w:rPr>
            </w:pPr>
            <w:r>
              <w:rPr>
                <w:rFonts w:hint="eastAsia" w:ascii="宋体" w:hAnsi="宋体" w:cs="Arial"/>
                <w:bCs/>
                <w:szCs w:val="21"/>
              </w:rPr>
              <w:t>项</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Arial"/>
                <w:bCs/>
                <w:szCs w:val="21"/>
              </w:rPr>
            </w:pPr>
            <w:r>
              <w:rPr>
                <w:rFonts w:ascii="宋体" w:hAnsi="宋体" w:cs="Arial"/>
                <w:bCs/>
                <w:szCs w:val="21"/>
              </w:rPr>
              <w:t>1</w:t>
            </w:r>
          </w:p>
        </w:tc>
        <w:tc>
          <w:tcPr>
            <w:tcW w:w="1835" w:type="dxa"/>
            <w:tcBorders>
              <w:top w:val="single" w:color="auto" w:sz="4" w:space="0"/>
              <w:left w:val="single" w:color="auto" w:sz="4" w:space="0"/>
              <w:bottom w:val="single" w:color="auto" w:sz="4" w:space="0"/>
            </w:tcBorders>
            <w:vAlign w:val="center"/>
          </w:tcPr>
          <w:p>
            <w:pPr>
              <w:snapToGrid w:val="0"/>
              <w:spacing w:line="360" w:lineRule="exact"/>
              <w:jc w:val="center"/>
              <w:rPr>
                <w:rFonts w:ascii="宋体" w:cs="Arial"/>
                <w:bCs/>
                <w:szCs w:val="21"/>
              </w:rPr>
            </w:pPr>
          </w:p>
        </w:tc>
      </w:tr>
    </w:tbl>
    <w:p>
      <w:pPr>
        <w:pStyle w:val="36"/>
        <w:widowControl w:val="0"/>
        <w:spacing w:line="360" w:lineRule="exact"/>
        <w:ind w:firstLine="422"/>
        <w:rPr>
          <w:rFonts w:ascii="宋体"/>
          <w:b/>
          <w:sz w:val="21"/>
          <w:szCs w:val="21"/>
        </w:rPr>
      </w:pPr>
      <w:r>
        <w:rPr>
          <w:rFonts w:hint="eastAsia" w:ascii="宋体" w:hAnsi="宋体"/>
          <w:b/>
          <w:sz w:val="21"/>
          <w:szCs w:val="21"/>
        </w:rPr>
        <w:t>四、合格投标人的资格要求：</w:t>
      </w:r>
    </w:p>
    <w:p>
      <w:pPr>
        <w:pStyle w:val="36"/>
        <w:widowControl w:val="0"/>
        <w:spacing w:line="360" w:lineRule="exact"/>
        <w:ind w:firstLine="420"/>
        <w:rPr>
          <w:rFonts w:ascii="宋体"/>
          <w:sz w:val="21"/>
          <w:szCs w:val="21"/>
        </w:rPr>
      </w:pPr>
      <w:r>
        <w:rPr>
          <w:rFonts w:ascii="宋体" w:hAnsi="宋体"/>
          <w:sz w:val="21"/>
          <w:szCs w:val="21"/>
        </w:rPr>
        <w:t>1</w:t>
      </w:r>
      <w:r>
        <w:rPr>
          <w:rFonts w:hint="eastAsia" w:ascii="宋体" w:hAnsi="宋体"/>
          <w:sz w:val="21"/>
          <w:szCs w:val="21"/>
        </w:rPr>
        <w:t>）具有独立承担民事责任能力的独立法人；</w:t>
      </w:r>
    </w:p>
    <w:p>
      <w:pPr>
        <w:pStyle w:val="36"/>
        <w:widowControl w:val="0"/>
        <w:spacing w:line="360" w:lineRule="exact"/>
        <w:ind w:firstLine="420"/>
        <w:rPr>
          <w:rFonts w:ascii="宋体"/>
          <w:sz w:val="21"/>
          <w:szCs w:val="21"/>
        </w:rPr>
      </w:pPr>
      <w:r>
        <w:rPr>
          <w:rFonts w:ascii="宋体" w:hAnsi="宋体"/>
          <w:sz w:val="21"/>
          <w:szCs w:val="21"/>
        </w:rPr>
        <w:t>2</w:t>
      </w:r>
      <w:r>
        <w:rPr>
          <w:rFonts w:hint="eastAsia" w:ascii="宋体" w:hAnsi="宋体"/>
          <w:sz w:val="21"/>
          <w:szCs w:val="21"/>
        </w:rPr>
        <w:t>）具有良好的商业信誉和健全的财务会计制度；</w:t>
      </w:r>
    </w:p>
    <w:p>
      <w:pPr>
        <w:pStyle w:val="36"/>
        <w:widowControl w:val="0"/>
        <w:spacing w:line="360" w:lineRule="exact"/>
        <w:ind w:firstLine="420"/>
        <w:rPr>
          <w:rFonts w:ascii="宋体"/>
          <w:sz w:val="21"/>
          <w:szCs w:val="21"/>
        </w:rPr>
      </w:pPr>
      <w:r>
        <w:rPr>
          <w:rFonts w:ascii="宋体" w:hAnsi="宋体"/>
          <w:sz w:val="21"/>
          <w:szCs w:val="21"/>
        </w:rPr>
        <w:t>3</w:t>
      </w:r>
      <w:r>
        <w:rPr>
          <w:rFonts w:hint="eastAsia" w:ascii="宋体" w:hAnsi="宋体"/>
          <w:sz w:val="21"/>
          <w:szCs w:val="21"/>
        </w:rPr>
        <w:t>）具有履行合同所必需的设备和专业技术能力；</w:t>
      </w:r>
    </w:p>
    <w:p>
      <w:pPr>
        <w:pStyle w:val="36"/>
        <w:widowControl w:val="0"/>
        <w:spacing w:line="360" w:lineRule="exact"/>
        <w:ind w:firstLine="420"/>
        <w:rPr>
          <w:rFonts w:ascii="宋体"/>
          <w:sz w:val="21"/>
          <w:szCs w:val="21"/>
        </w:rPr>
      </w:pPr>
      <w:r>
        <w:rPr>
          <w:rFonts w:ascii="宋体" w:hAnsi="宋体"/>
          <w:sz w:val="21"/>
          <w:szCs w:val="21"/>
        </w:rPr>
        <w:t>4</w:t>
      </w:r>
      <w:r>
        <w:rPr>
          <w:rFonts w:hint="eastAsia" w:ascii="宋体" w:hAnsi="宋体"/>
          <w:sz w:val="21"/>
          <w:szCs w:val="21"/>
        </w:rPr>
        <w:t>）有依法缴纳税收和社会保障资金的良好记录；</w:t>
      </w:r>
    </w:p>
    <w:p>
      <w:pPr>
        <w:pStyle w:val="36"/>
        <w:widowControl w:val="0"/>
        <w:spacing w:line="360" w:lineRule="exact"/>
        <w:ind w:firstLine="420"/>
        <w:rPr>
          <w:rFonts w:ascii="宋体"/>
          <w:sz w:val="21"/>
          <w:szCs w:val="21"/>
        </w:rPr>
      </w:pPr>
      <w:r>
        <w:rPr>
          <w:rFonts w:ascii="宋体" w:hAnsi="宋体"/>
          <w:sz w:val="21"/>
          <w:szCs w:val="21"/>
        </w:rPr>
        <w:t>5</w:t>
      </w:r>
      <w:r>
        <w:rPr>
          <w:rFonts w:hint="eastAsia" w:ascii="宋体" w:hAnsi="宋体"/>
          <w:sz w:val="21"/>
          <w:szCs w:val="21"/>
        </w:rPr>
        <w:t>）参加政府采购活动前三年内，在经营活动中没有重大违法记录；</w:t>
      </w:r>
    </w:p>
    <w:p>
      <w:pPr>
        <w:pStyle w:val="36"/>
        <w:widowControl w:val="0"/>
        <w:spacing w:line="360" w:lineRule="exact"/>
        <w:ind w:firstLine="420"/>
        <w:rPr>
          <w:rFonts w:ascii="宋体"/>
          <w:sz w:val="21"/>
          <w:szCs w:val="21"/>
        </w:rPr>
      </w:pPr>
      <w:r>
        <w:rPr>
          <w:rFonts w:ascii="宋体" w:hAnsi="宋体"/>
          <w:sz w:val="21"/>
          <w:szCs w:val="21"/>
        </w:rPr>
        <w:t>6</w:t>
      </w:r>
      <w:r>
        <w:rPr>
          <w:rFonts w:hint="eastAsia" w:ascii="宋体" w:hAnsi="宋体"/>
          <w:sz w:val="21"/>
          <w:szCs w:val="21"/>
        </w:rPr>
        <w:t>）法律、行政法规规定的其他条件；</w:t>
      </w:r>
    </w:p>
    <w:p>
      <w:pPr>
        <w:snapToGrid w:val="0"/>
        <w:spacing w:line="420" w:lineRule="exact"/>
        <w:ind w:firstLine="420" w:firstLineChars="200"/>
        <w:rPr>
          <w:rFonts w:ascii="宋体"/>
          <w:kern w:val="0"/>
          <w:szCs w:val="21"/>
        </w:rPr>
      </w:pPr>
      <w:r>
        <w:rPr>
          <w:rFonts w:ascii="宋体" w:hAnsi="宋体"/>
          <w:kern w:val="0"/>
          <w:szCs w:val="21"/>
        </w:rPr>
        <w:t>7</w:t>
      </w:r>
      <w:r>
        <w:rPr>
          <w:rFonts w:hint="eastAsia" w:ascii="宋体" w:hAnsi="宋体"/>
          <w:kern w:val="0"/>
          <w:szCs w:val="21"/>
        </w:rPr>
        <w:t>）具备组团成功出游、疗休养经历，能全额垫资，能有效组织承担并实施本项目；</w:t>
      </w:r>
    </w:p>
    <w:p>
      <w:pPr>
        <w:snapToGrid w:val="0"/>
        <w:spacing w:line="420" w:lineRule="exact"/>
        <w:ind w:firstLine="420" w:firstLineChars="200"/>
        <w:rPr>
          <w:rFonts w:ascii="宋体"/>
          <w:kern w:val="0"/>
          <w:szCs w:val="21"/>
        </w:rPr>
      </w:pPr>
      <w:r>
        <w:rPr>
          <w:rFonts w:ascii="宋体" w:hAnsi="宋体"/>
          <w:kern w:val="0"/>
          <w:szCs w:val="21"/>
        </w:rPr>
        <w:t>8</w:t>
      </w:r>
      <w:r>
        <w:rPr>
          <w:rFonts w:hint="eastAsia" w:ascii="宋体" w:hAnsi="宋体"/>
          <w:kern w:val="0"/>
          <w:szCs w:val="21"/>
        </w:rPr>
        <w:t>）杭州市本地符合上述资格的优秀供应商。</w:t>
      </w:r>
    </w:p>
    <w:p>
      <w:pPr>
        <w:snapToGrid w:val="0"/>
        <w:spacing w:line="420" w:lineRule="exact"/>
        <w:ind w:firstLine="422" w:firstLineChars="200"/>
        <w:rPr>
          <w:rFonts w:ascii="宋体" w:cs="Arial"/>
          <w:b/>
          <w:bCs/>
          <w:szCs w:val="21"/>
        </w:rPr>
      </w:pPr>
      <w:r>
        <w:rPr>
          <w:rFonts w:hint="eastAsia" w:ascii="宋体" w:hAnsi="宋体" w:cs="Arial"/>
          <w:b/>
          <w:bCs/>
          <w:szCs w:val="21"/>
        </w:rPr>
        <w:t>五、招标文件的发售：</w:t>
      </w:r>
    </w:p>
    <w:p>
      <w:pPr>
        <w:snapToGrid w:val="0"/>
        <w:spacing w:line="420" w:lineRule="exact"/>
        <w:ind w:firstLine="420" w:firstLineChars="200"/>
        <w:rPr>
          <w:rFonts w:ascii="宋体" w:cs="Arial"/>
          <w:szCs w:val="21"/>
        </w:rPr>
      </w:pPr>
      <w:r>
        <w:rPr>
          <w:rFonts w:ascii="宋体" w:hAnsi="宋体" w:cs="Arial"/>
          <w:szCs w:val="21"/>
        </w:rPr>
        <w:t>1</w:t>
      </w:r>
      <w:r>
        <w:rPr>
          <w:rFonts w:hint="eastAsia" w:ascii="宋体" w:hAnsi="宋体" w:cs="Arial"/>
          <w:szCs w:val="21"/>
        </w:rPr>
        <w:t>．发售时间：报名即日起至</w:t>
      </w:r>
      <w:r>
        <w:rPr>
          <w:rFonts w:ascii="宋体" w:hAnsi="宋体" w:cs="Arial"/>
          <w:szCs w:val="21"/>
        </w:rPr>
        <w:t>2018</w:t>
      </w:r>
      <w:r>
        <w:rPr>
          <w:rFonts w:hint="eastAsia" w:ascii="宋体" w:hAnsi="宋体" w:cs="Arial"/>
          <w:szCs w:val="21"/>
        </w:rPr>
        <w:t>年</w:t>
      </w:r>
      <w:r>
        <w:rPr>
          <w:rFonts w:ascii="宋体" w:hAnsi="宋体" w:cs="Arial"/>
          <w:szCs w:val="21"/>
          <w:u w:val="single"/>
        </w:rPr>
        <w:t xml:space="preserve"> 9 </w:t>
      </w:r>
      <w:r>
        <w:rPr>
          <w:rFonts w:hint="eastAsia" w:ascii="宋体" w:hAnsi="宋体" w:cs="Arial"/>
          <w:szCs w:val="21"/>
        </w:rPr>
        <w:t>月</w:t>
      </w:r>
      <w:r>
        <w:rPr>
          <w:rFonts w:ascii="宋体" w:hAnsi="宋体" w:cs="Arial"/>
          <w:szCs w:val="21"/>
        </w:rPr>
        <w:t xml:space="preserve"> </w:t>
      </w:r>
      <w:r>
        <w:rPr>
          <w:rFonts w:ascii="宋体" w:hAnsi="宋体" w:cs="Arial"/>
          <w:szCs w:val="21"/>
          <w:u w:val="single"/>
        </w:rPr>
        <w:t xml:space="preserve"> 18</w:t>
      </w:r>
      <w:r>
        <w:rPr>
          <w:rFonts w:hint="eastAsia" w:ascii="宋体" w:hAnsi="宋体" w:cs="Arial"/>
          <w:szCs w:val="21"/>
        </w:rPr>
        <w:t>日，上午</w:t>
      </w:r>
      <w:r>
        <w:rPr>
          <w:rFonts w:ascii="宋体" w:hAnsi="宋体" w:cs="Arial"/>
          <w:szCs w:val="21"/>
        </w:rPr>
        <w:t>8:30-11:30</w:t>
      </w:r>
      <w:r>
        <w:rPr>
          <w:rFonts w:hint="eastAsia" w:ascii="宋体" w:hAnsi="宋体" w:cs="Arial"/>
          <w:szCs w:val="21"/>
        </w:rPr>
        <w:t>；下午</w:t>
      </w:r>
      <w:r>
        <w:rPr>
          <w:rFonts w:ascii="宋体" w:hAnsi="宋体" w:cs="Arial"/>
          <w:szCs w:val="21"/>
        </w:rPr>
        <w:t>13:30-16:30</w:t>
      </w:r>
      <w:r>
        <w:rPr>
          <w:rFonts w:hint="eastAsia" w:ascii="宋体" w:hAnsi="宋体" w:cs="Arial"/>
          <w:szCs w:val="21"/>
        </w:rPr>
        <w:t>（可电话确认报名），标书发售：</w:t>
      </w:r>
      <w:r>
        <w:rPr>
          <w:rFonts w:ascii="宋体" w:hAnsi="宋体" w:cs="Arial"/>
          <w:szCs w:val="21"/>
        </w:rPr>
        <w:t>2018</w:t>
      </w:r>
      <w:r>
        <w:rPr>
          <w:rFonts w:hint="eastAsia" w:ascii="宋体" w:hAnsi="宋体" w:cs="Arial"/>
          <w:szCs w:val="21"/>
        </w:rPr>
        <w:t>年</w:t>
      </w:r>
      <w:r>
        <w:rPr>
          <w:rFonts w:ascii="宋体" w:hAnsi="宋体" w:cs="Arial"/>
          <w:szCs w:val="21"/>
        </w:rPr>
        <w:t>9</w:t>
      </w:r>
      <w:r>
        <w:rPr>
          <w:rFonts w:hint="eastAsia" w:ascii="宋体" w:hAnsi="宋体" w:cs="Arial"/>
          <w:szCs w:val="21"/>
        </w:rPr>
        <w:t>月</w:t>
      </w:r>
      <w:r>
        <w:rPr>
          <w:rFonts w:ascii="宋体" w:hAnsi="宋体" w:cs="Arial"/>
          <w:szCs w:val="21"/>
        </w:rPr>
        <w:t>19</w:t>
      </w:r>
      <w:r>
        <w:rPr>
          <w:rFonts w:hint="eastAsia" w:ascii="宋体" w:hAnsi="宋体" w:cs="Arial"/>
          <w:szCs w:val="21"/>
        </w:rPr>
        <w:t>日上午</w:t>
      </w:r>
      <w:r>
        <w:rPr>
          <w:rFonts w:ascii="宋体" w:hAnsi="宋体" w:cs="Arial"/>
          <w:szCs w:val="21"/>
        </w:rPr>
        <w:t>8:30-11:30</w:t>
      </w:r>
      <w:r>
        <w:rPr>
          <w:rFonts w:hint="eastAsia" w:ascii="宋体" w:hAnsi="宋体" w:cs="Arial"/>
          <w:szCs w:val="21"/>
        </w:rPr>
        <w:t>；下午</w:t>
      </w:r>
      <w:r>
        <w:rPr>
          <w:rFonts w:ascii="宋体" w:hAnsi="宋体" w:cs="Arial"/>
          <w:szCs w:val="21"/>
        </w:rPr>
        <w:t>13:30-16:30</w:t>
      </w:r>
    </w:p>
    <w:p>
      <w:pPr>
        <w:snapToGrid w:val="0"/>
        <w:spacing w:line="360" w:lineRule="exact"/>
        <w:ind w:firstLine="420" w:firstLineChars="200"/>
        <w:rPr>
          <w:rFonts w:ascii="宋体"/>
          <w:b/>
          <w:kern w:val="0"/>
          <w:szCs w:val="21"/>
        </w:rPr>
      </w:pPr>
      <w:r>
        <w:rPr>
          <w:rFonts w:ascii="宋体" w:hAnsi="宋体" w:cs="Arial"/>
          <w:szCs w:val="21"/>
        </w:rPr>
        <w:t>2.</w:t>
      </w:r>
      <w:r>
        <w:rPr>
          <w:rFonts w:hint="eastAsia" w:ascii="宋体" w:hAnsi="宋体" w:cs="Arial"/>
          <w:szCs w:val="21"/>
        </w:rPr>
        <w:t>发售地点：杭州卖鱼桥小学（湖墅校区）总务处。</w:t>
      </w:r>
    </w:p>
    <w:p>
      <w:pPr>
        <w:snapToGrid w:val="0"/>
        <w:spacing w:line="420" w:lineRule="exact"/>
        <w:ind w:firstLine="420" w:firstLineChars="200"/>
        <w:rPr>
          <w:rFonts w:ascii="宋体" w:cs="Arial"/>
          <w:szCs w:val="21"/>
        </w:rPr>
      </w:pPr>
      <w:r>
        <w:rPr>
          <w:rFonts w:ascii="宋体" w:hAnsi="宋体" w:cs="Arial"/>
          <w:szCs w:val="21"/>
        </w:rPr>
        <w:t>3.</w:t>
      </w:r>
      <w:r>
        <w:rPr>
          <w:rFonts w:hint="eastAsia" w:ascii="宋体" w:hAnsi="宋体" w:cs="Arial"/>
          <w:szCs w:val="21"/>
        </w:rPr>
        <w:t>招标文件发售截止时间后不允许投标人前来认购招标文件。</w:t>
      </w:r>
    </w:p>
    <w:p>
      <w:pPr>
        <w:snapToGrid w:val="0"/>
        <w:spacing w:line="420" w:lineRule="exact"/>
        <w:ind w:firstLine="474" w:firstLineChars="225"/>
        <w:rPr>
          <w:rFonts w:ascii="宋体" w:cs="Arial"/>
          <w:szCs w:val="21"/>
        </w:rPr>
      </w:pPr>
      <w:r>
        <w:rPr>
          <w:rFonts w:hint="eastAsia" w:ascii="宋体" w:hAnsi="宋体" w:cs="Arial"/>
          <w:b/>
          <w:szCs w:val="21"/>
        </w:rPr>
        <w:t>六、购买招标文件时应提供以下资料</w:t>
      </w:r>
      <w:r>
        <w:rPr>
          <w:rFonts w:hint="eastAsia" w:ascii="宋体" w:hAnsi="宋体" w:cs="Arial"/>
          <w:szCs w:val="21"/>
        </w:rPr>
        <w:t>：</w:t>
      </w:r>
    </w:p>
    <w:p>
      <w:pPr>
        <w:snapToGrid w:val="0"/>
        <w:spacing w:line="420" w:lineRule="exact"/>
        <w:ind w:firstLine="472" w:firstLineChars="225"/>
        <w:rPr>
          <w:rFonts w:ascii="宋体" w:cs="Arial"/>
          <w:szCs w:val="21"/>
        </w:rPr>
      </w:pPr>
      <w:r>
        <w:rPr>
          <w:rFonts w:ascii="宋体" w:hAnsi="宋体" w:cs="Arial"/>
          <w:szCs w:val="21"/>
        </w:rPr>
        <w:t>1.</w:t>
      </w:r>
      <w:r>
        <w:rPr>
          <w:rFonts w:hint="eastAsia" w:ascii="宋体" w:hAnsi="宋体" w:cs="Arial"/>
          <w:szCs w:val="21"/>
        </w:rPr>
        <w:t>投标单位介绍信或法人授权书（原件），被授权人身份证（加盖公章的复印件</w:t>
      </w:r>
      <w:r>
        <w:rPr>
          <w:rFonts w:ascii="宋体" w:hAnsi="宋体" w:cs="Arial"/>
          <w:szCs w:val="21"/>
        </w:rPr>
        <w:t>1</w:t>
      </w:r>
      <w:r>
        <w:rPr>
          <w:rFonts w:hint="eastAsia" w:ascii="宋体" w:hAnsi="宋体" w:cs="Arial"/>
          <w:szCs w:val="21"/>
        </w:rPr>
        <w:t>份）；</w:t>
      </w:r>
    </w:p>
    <w:p>
      <w:pPr>
        <w:snapToGrid w:val="0"/>
        <w:spacing w:line="420" w:lineRule="exact"/>
        <w:ind w:firstLine="472" w:firstLineChars="225"/>
        <w:rPr>
          <w:rFonts w:ascii="宋体" w:cs="Arial"/>
          <w:szCs w:val="21"/>
        </w:rPr>
      </w:pPr>
      <w:r>
        <w:rPr>
          <w:rFonts w:ascii="宋体" w:hAnsi="宋体" w:cs="Arial"/>
          <w:szCs w:val="21"/>
        </w:rPr>
        <w:t>2.</w:t>
      </w:r>
      <w:r>
        <w:rPr>
          <w:rFonts w:hint="eastAsia" w:ascii="宋体" w:hAnsi="宋体" w:cs="Arial"/>
          <w:szCs w:val="21"/>
        </w:rPr>
        <w:t>营业执照</w:t>
      </w:r>
      <w:r>
        <w:rPr>
          <w:rFonts w:ascii="宋体" w:hAnsi="宋体" w:cs="Arial"/>
          <w:szCs w:val="21"/>
        </w:rPr>
        <w:t xml:space="preserve"> (</w:t>
      </w:r>
      <w:r>
        <w:rPr>
          <w:rFonts w:hint="eastAsia" w:ascii="宋体" w:hAnsi="宋体" w:cs="Arial"/>
          <w:szCs w:val="21"/>
        </w:rPr>
        <w:t>加盖公章的复印件一份</w:t>
      </w:r>
      <w:r>
        <w:rPr>
          <w:rFonts w:ascii="宋体" w:hAnsi="宋体" w:cs="Arial"/>
          <w:szCs w:val="21"/>
        </w:rPr>
        <w:t>)</w:t>
      </w:r>
      <w:r>
        <w:rPr>
          <w:rFonts w:hint="eastAsia" w:ascii="宋体" w:hAnsi="宋体" w:cs="Arial"/>
          <w:szCs w:val="21"/>
        </w:rPr>
        <w:t>；</w:t>
      </w:r>
    </w:p>
    <w:p>
      <w:pPr>
        <w:snapToGrid w:val="0"/>
        <w:spacing w:line="420" w:lineRule="exact"/>
        <w:ind w:firstLine="422" w:firstLineChars="200"/>
        <w:rPr>
          <w:rFonts w:ascii="宋体" w:cs="Arial"/>
          <w:szCs w:val="21"/>
        </w:rPr>
      </w:pPr>
      <w:r>
        <w:rPr>
          <w:rFonts w:hint="eastAsia" w:ascii="宋体" w:hAnsi="宋体" w:cs="Arial"/>
          <w:b/>
          <w:bCs/>
          <w:szCs w:val="21"/>
        </w:rPr>
        <w:t>七、开标时间及地点</w:t>
      </w:r>
      <w:r>
        <w:rPr>
          <w:rFonts w:hint="eastAsia" w:ascii="宋体" w:hAnsi="宋体" w:cs="Arial"/>
          <w:szCs w:val="21"/>
        </w:rPr>
        <w:t>：</w:t>
      </w:r>
    </w:p>
    <w:p>
      <w:pPr>
        <w:spacing w:line="420" w:lineRule="exact"/>
        <w:ind w:left="420" w:leftChars="200"/>
        <w:jc w:val="left"/>
        <w:rPr>
          <w:rFonts w:ascii="宋体"/>
          <w:szCs w:val="21"/>
        </w:rPr>
      </w:pPr>
      <w:r>
        <w:rPr>
          <w:rFonts w:hint="eastAsia" w:ascii="宋体" w:hAnsi="宋体"/>
          <w:szCs w:val="21"/>
        </w:rPr>
        <w:t>本项目将于</w:t>
      </w:r>
      <w:r>
        <w:rPr>
          <w:rFonts w:ascii="宋体" w:hAnsi="宋体"/>
          <w:szCs w:val="21"/>
        </w:rPr>
        <w:t>2018</w:t>
      </w:r>
      <w:r>
        <w:rPr>
          <w:rFonts w:hint="eastAsia" w:ascii="宋体" w:hAnsi="宋体"/>
          <w:szCs w:val="21"/>
        </w:rPr>
        <w:t>年</w:t>
      </w:r>
      <w:r>
        <w:rPr>
          <w:rFonts w:ascii="宋体" w:hAnsi="宋体"/>
          <w:szCs w:val="21"/>
          <w:u w:val="single"/>
        </w:rPr>
        <w:t xml:space="preserve"> 9</w:t>
      </w:r>
      <w:r>
        <w:rPr>
          <w:rFonts w:hint="eastAsia" w:ascii="宋体" w:hAnsi="宋体"/>
          <w:szCs w:val="21"/>
        </w:rPr>
        <w:t>月</w:t>
      </w:r>
      <w:r>
        <w:rPr>
          <w:rFonts w:ascii="宋体" w:hAnsi="宋体"/>
          <w:szCs w:val="21"/>
          <w:u w:val="single"/>
        </w:rPr>
        <w:t xml:space="preserve"> 25 </w:t>
      </w:r>
      <w:r>
        <w:rPr>
          <w:rFonts w:hint="eastAsia" w:ascii="宋体" w:hAnsi="宋体"/>
          <w:szCs w:val="21"/>
        </w:rPr>
        <w:t>日</w:t>
      </w:r>
      <w:r>
        <w:rPr>
          <w:rFonts w:ascii="宋体" w:hAnsi="宋体"/>
          <w:szCs w:val="21"/>
          <w:u w:val="single"/>
        </w:rPr>
        <w:t>9</w:t>
      </w:r>
      <w:r>
        <w:rPr>
          <w:rFonts w:hint="eastAsia" w:ascii="宋体" w:hAnsi="宋体"/>
          <w:szCs w:val="21"/>
        </w:rPr>
        <w:t>时</w:t>
      </w:r>
      <w:r>
        <w:rPr>
          <w:rFonts w:ascii="宋体" w:hAnsi="宋体"/>
          <w:szCs w:val="21"/>
          <w:u w:val="single"/>
        </w:rPr>
        <w:t>30</w:t>
      </w:r>
      <w:r>
        <w:rPr>
          <w:rFonts w:hint="eastAsia" w:ascii="宋体" w:hAnsi="宋体"/>
          <w:szCs w:val="21"/>
        </w:rPr>
        <w:t>分在</w:t>
      </w:r>
      <w:r>
        <w:rPr>
          <w:rFonts w:hint="eastAsia" w:ascii="宋体" w:hAnsi="宋体" w:cs="Arial"/>
          <w:szCs w:val="21"/>
        </w:rPr>
        <w:t>杭州市卖鱼桥小学（湖墅校区）</w:t>
      </w:r>
      <w:r>
        <w:rPr>
          <w:rFonts w:hint="eastAsia" w:ascii="宋体" w:hAnsi="宋体"/>
          <w:szCs w:val="21"/>
        </w:rPr>
        <w:t>会议室（</w:t>
      </w:r>
      <w:r>
        <w:rPr>
          <w:rFonts w:hint="eastAsia" w:ascii="Arial" w:hAnsi="Arial" w:cs="Arial"/>
          <w:szCs w:val="21"/>
          <w:shd w:val="clear" w:color="auto" w:fill="FFFFFF"/>
        </w:rPr>
        <w:t>湖墅新村</w:t>
      </w:r>
      <w:r>
        <w:rPr>
          <w:rFonts w:ascii="Arial" w:hAnsi="Arial" w:cs="Arial"/>
          <w:szCs w:val="21"/>
          <w:shd w:val="clear" w:color="auto" w:fill="FFFFFF"/>
        </w:rPr>
        <w:t>16</w:t>
      </w:r>
      <w:r>
        <w:rPr>
          <w:rFonts w:hint="eastAsia" w:ascii="Arial" w:hAnsi="Arial" w:cs="Arial"/>
          <w:szCs w:val="21"/>
          <w:shd w:val="clear" w:color="auto" w:fill="FFFFFF"/>
        </w:rPr>
        <w:t>号</w:t>
      </w:r>
      <w:r>
        <w:rPr>
          <w:rFonts w:hint="eastAsia" w:ascii="宋体" w:hAnsi="宋体"/>
          <w:szCs w:val="21"/>
        </w:rPr>
        <w:t>）进行开标，投标人须派全权代表出席（全权代表应当是投标人的在职正式职工，并携带身份证等有效证明出席）。</w:t>
      </w:r>
    </w:p>
    <w:p>
      <w:pPr>
        <w:snapToGrid w:val="0"/>
        <w:spacing w:line="360" w:lineRule="exact"/>
        <w:ind w:firstLine="422" w:firstLineChars="200"/>
        <w:rPr>
          <w:rFonts w:ascii="宋体" w:cs="Arial"/>
          <w:szCs w:val="21"/>
        </w:rPr>
      </w:pPr>
      <w:r>
        <w:rPr>
          <w:rFonts w:hint="eastAsia" w:ascii="宋体" w:hAnsi="宋体" w:cs="Arial"/>
          <w:b/>
          <w:szCs w:val="21"/>
        </w:rPr>
        <w:t>八、联系方式</w:t>
      </w:r>
      <w:r>
        <w:rPr>
          <w:rFonts w:hint="eastAsia" w:ascii="宋体" w:hAnsi="宋体" w:cs="Arial"/>
          <w:szCs w:val="21"/>
        </w:rPr>
        <w:t>：</w:t>
      </w:r>
    </w:p>
    <w:p>
      <w:pPr>
        <w:snapToGrid w:val="0"/>
        <w:spacing w:line="360" w:lineRule="exact"/>
        <w:ind w:firstLine="420" w:firstLineChars="200"/>
        <w:rPr>
          <w:rFonts w:ascii="宋体"/>
          <w:szCs w:val="21"/>
        </w:rPr>
      </w:pPr>
      <w:r>
        <w:rPr>
          <w:rFonts w:hint="eastAsia" w:ascii="宋体" w:hAnsi="宋体" w:cs="Arial"/>
          <w:szCs w:val="21"/>
        </w:rPr>
        <w:t>招</w:t>
      </w:r>
      <w:r>
        <w:rPr>
          <w:rFonts w:ascii="宋体" w:hAnsi="宋体" w:cs="Arial"/>
          <w:szCs w:val="21"/>
        </w:rPr>
        <w:t xml:space="preserve"> </w:t>
      </w:r>
      <w:r>
        <w:rPr>
          <w:rFonts w:hint="eastAsia" w:ascii="宋体" w:hAnsi="宋体" w:cs="Arial"/>
          <w:szCs w:val="21"/>
        </w:rPr>
        <w:t>标</w:t>
      </w:r>
      <w:r>
        <w:rPr>
          <w:rFonts w:ascii="宋体" w:hAnsi="宋体" w:cs="Arial"/>
          <w:szCs w:val="21"/>
        </w:rPr>
        <w:t xml:space="preserve"> </w:t>
      </w:r>
      <w:r>
        <w:rPr>
          <w:rFonts w:hint="eastAsia" w:ascii="宋体" w:hAnsi="宋体" w:cs="Arial"/>
          <w:szCs w:val="21"/>
        </w:rPr>
        <w:t>人：</w:t>
      </w:r>
      <w:r>
        <w:rPr>
          <w:rFonts w:ascii="宋体" w:hAnsi="宋体" w:cs="Arial"/>
          <w:szCs w:val="21"/>
        </w:rPr>
        <w:t xml:space="preserve">  </w:t>
      </w:r>
      <w:r>
        <w:rPr>
          <w:rFonts w:hint="eastAsia" w:ascii="宋体" w:hAnsi="宋体" w:cs="Arial"/>
          <w:szCs w:val="21"/>
        </w:rPr>
        <w:t>杭州市卖鱼桥小学</w:t>
      </w:r>
    </w:p>
    <w:p>
      <w:pPr>
        <w:snapToGrid w:val="0"/>
        <w:spacing w:line="360" w:lineRule="exact"/>
        <w:ind w:firstLine="420" w:firstLineChars="200"/>
        <w:rPr>
          <w:rFonts w:ascii="宋体" w:cs="Arial"/>
          <w:szCs w:val="21"/>
        </w:rPr>
      </w:pPr>
      <w:r>
        <w:rPr>
          <w:rFonts w:hint="eastAsia" w:ascii="宋体" w:hAnsi="宋体" w:cs="Arial"/>
          <w:szCs w:val="21"/>
        </w:rPr>
        <w:t>地</w:t>
      </w:r>
      <w:r>
        <w:rPr>
          <w:rFonts w:ascii="宋体" w:hAnsi="宋体" w:cs="Arial"/>
          <w:szCs w:val="21"/>
        </w:rPr>
        <w:t xml:space="preserve">    </w:t>
      </w:r>
      <w:r>
        <w:rPr>
          <w:rFonts w:hint="eastAsia" w:ascii="宋体" w:hAnsi="宋体" w:cs="Arial"/>
          <w:szCs w:val="21"/>
        </w:rPr>
        <w:t>点：</w:t>
      </w:r>
      <w:r>
        <w:rPr>
          <w:rFonts w:ascii="宋体" w:hAnsi="宋体" w:cs="Arial"/>
          <w:szCs w:val="21"/>
        </w:rPr>
        <w:t xml:space="preserve">  </w:t>
      </w:r>
      <w:r>
        <w:rPr>
          <w:rFonts w:hint="eastAsia" w:ascii="Arial" w:hAnsi="Arial" w:cs="Arial"/>
          <w:szCs w:val="21"/>
          <w:shd w:val="clear" w:color="auto" w:fill="FFFFFF"/>
        </w:rPr>
        <w:t>杭州市湖墅新村</w:t>
      </w:r>
      <w:r>
        <w:rPr>
          <w:rFonts w:ascii="Arial" w:hAnsi="Arial" w:cs="Arial"/>
          <w:szCs w:val="21"/>
          <w:shd w:val="clear" w:color="auto" w:fill="FFFFFF"/>
        </w:rPr>
        <w:t>16</w:t>
      </w:r>
      <w:r>
        <w:rPr>
          <w:rFonts w:hint="eastAsia" w:ascii="Arial" w:hAnsi="Arial" w:cs="Arial"/>
          <w:szCs w:val="21"/>
          <w:shd w:val="clear" w:color="auto" w:fill="FFFFFF"/>
        </w:rPr>
        <w:t>号</w:t>
      </w:r>
    </w:p>
    <w:p>
      <w:pPr>
        <w:snapToGrid w:val="0"/>
        <w:spacing w:line="360" w:lineRule="exact"/>
        <w:ind w:firstLine="420" w:firstLineChars="200"/>
        <w:rPr>
          <w:rFonts w:ascii="宋体" w:cs="Arial"/>
          <w:szCs w:val="21"/>
        </w:rPr>
      </w:pPr>
      <w:r>
        <w:rPr>
          <w:rFonts w:hint="eastAsia" w:ascii="宋体" w:hAnsi="宋体" w:cs="Arial"/>
          <w:szCs w:val="21"/>
        </w:rPr>
        <w:t>联</w:t>
      </w:r>
      <w:r>
        <w:rPr>
          <w:rFonts w:ascii="宋体" w:hAnsi="宋体" w:cs="Arial"/>
          <w:szCs w:val="21"/>
        </w:rPr>
        <w:t xml:space="preserve"> </w:t>
      </w:r>
      <w:r>
        <w:rPr>
          <w:rFonts w:hint="eastAsia" w:ascii="宋体" w:hAnsi="宋体" w:cs="Arial"/>
          <w:szCs w:val="21"/>
        </w:rPr>
        <w:t>系</w:t>
      </w:r>
      <w:r>
        <w:rPr>
          <w:rFonts w:ascii="宋体" w:hAnsi="宋体" w:cs="Arial"/>
          <w:szCs w:val="21"/>
        </w:rPr>
        <w:t xml:space="preserve"> </w:t>
      </w:r>
      <w:r>
        <w:rPr>
          <w:rFonts w:hint="eastAsia" w:ascii="宋体" w:hAnsi="宋体" w:cs="Arial"/>
          <w:szCs w:val="21"/>
        </w:rPr>
        <w:t>人：</w:t>
      </w:r>
      <w:r>
        <w:rPr>
          <w:rFonts w:ascii="宋体" w:hAnsi="宋体" w:cs="Arial"/>
          <w:szCs w:val="21"/>
        </w:rPr>
        <w:t xml:space="preserve">  </w:t>
      </w:r>
      <w:r>
        <w:rPr>
          <w:rFonts w:hint="eastAsia" w:ascii="宋体" w:hAnsi="宋体" w:cs="Arial"/>
          <w:szCs w:val="21"/>
        </w:rPr>
        <w:t>陈姜</w:t>
      </w:r>
      <w:r>
        <w:rPr>
          <w:rFonts w:ascii="宋体" w:hAnsi="宋体" w:cs="Arial"/>
          <w:szCs w:val="21"/>
        </w:rPr>
        <w:t xml:space="preserve">                       </w:t>
      </w:r>
      <w:r>
        <w:rPr>
          <w:rFonts w:hint="eastAsia" w:ascii="宋体" w:hAnsi="宋体" w:cs="Arial"/>
          <w:szCs w:val="21"/>
        </w:rPr>
        <w:t>联系电话：</w:t>
      </w:r>
      <w:r>
        <w:rPr>
          <w:rFonts w:ascii="宋体" w:hAnsi="宋体" w:cs="Arial"/>
          <w:szCs w:val="21"/>
        </w:rPr>
        <w:t>56317101  13003656637</w:t>
      </w:r>
    </w:p>
    <w:p>
      <w:pPr>
        <w:rPr>
          <w:rFonts w:ascii="宋体" w:cs="宋体"/>
        </w:rPr>
      </w:pPr>
      <w:bookmarkStart w:id="3" w:name="_Toc416249132"/>
    </w:p>
    <w:p>
      <w:pPr>
        <w:ind w:firstLine="2891" w:firstLineChars="900"/>
      </w:pPr>
      <w:r>
        <w:rPr>
          <w:rFonts w:hint="eastAsia" w:ascii="宋体" w:hAnsi="宋体" w:cs="宋体"/>
          <w:b/>
          <w:bCs/>
          <w:sz w:val="32"/>
          <w:szCs w:val="32"/>
        </w:rPr>
        <w:t>第二章</w:t>
      </w:r>
      <w:r>
        <w:rPr>
          <w:rFonts w:cs="Cambria"/>
          <w:b/>
          <w:bCs/>
          <w:sz w:val="32"/>
          <w:szCs w:val="32"/>
        </w:rPr>
        <w:t xml:space="preserve">  </w:t>
      </w:r>
      <w:r>
        <w:rPr>
          <w:rFonts w:hint="eastAsia" w:ascii="宋体" w:hAnsi="宋体" w:cs="宋体"/>
          <w:b/>
          <w:bCs/>
          <w:sz w:val="32"/>
          <w:szCs w:val="32"/>
        </w:rPr>
        <w:t>招标需求</w:t>
      </w:r>
      <w:bookmarkEnd w:id="3"/>
    </w:p>
    <w:p>
      <w:pPr>
        <w:snapToGrid w:val="0"/>
        <w:spacing w:line="360" w:lineRule="auto"/>
        <w:rPr>
          <w:rFonts w:ascii="宋体"/>
          <w:sz w:val="24"/>
        </w:rPr>
      </w:pPr>
    </w:p>
    <w:p>
      <w:pPr>
        <w:snapToGrid w:val="0"/>
        <w:spacing w:line="360" w:lineRule="auto"/>
        <w:rPr>
          <w:rFonts w:ascii="宋体"/>
          <w:szCs w:val="21"/>
        </w:rPr>
      </w:pPr>
      <w:r>
        <w:rPr>
          <w:rFonts w:ascii="宋体" w:hAnsi="宋体"/>
          <w:szCs w:val="21"/>
        </w:rPr>
        <w:t>1.</w:t>
      </w:r>
      <w:r>
        <w:rPr>
          <w:rFonts w:hint="eastAsia" w:ascii="宋体" w:hAnsi="宋体"/>
          <w:b/>
          <w:szCs w:val="21"/>
        </w:rPr>
        <w:t>项目名称：</w:t>
      </w:r>
      <w:r>
        <w:rPr>
          <w:rFonts w:ascii="宋体" w:hAnsi="宋体"/>
          <w:szCs w:val="21"/>
        </w:rPr>
        <w:t xml:space="preserve"> </w:t>
      </w:r>
      <w:r>
        <w:rPr>
          <w:rFonts w:hint="eastAsia" w:ascii="宋体" w:hAnsi="宋体"/>
          <w:szCs w:val="21"/>
        </w:rPr>
        <w:t>“</w:t>
      </w:r>
      <w:r>
        <w:rPr>
          <w:rFonts w:ascii="宋体" w:hAnsi="宋体"/>
          <w:szCs w:val="21"/>
        </w:rPr>
        <w:t>2018</w:t>
      </w:r>
      <w:r>
        <w:rPr>
          <w:rFonts w:hint="eastAsia" w:ascii="宋体" w:hAnsi="宋体"/>
          <w:szCs w:val="21"/>
        </w:rPr>
        <w:t>杭州市卖鱼桥小学教职工疗休养”项目。</w:t>
      </w:r>
    </w:p>
    <w:p>
      <w:pPr>
        <w:snapToGrid w:val="0"/>
        <w:spacing w:line="360" w:lineRule="auto"/>
        <w:rPr>
          <w:rFonts w:ascii="宋体"/>
          <w:szCs w:val="21"/>
        </w:rPr>
      </w:pPr>
      <w:r>
        <w:rPr>
          <w:rFonts w:ascii="宋体" w:hAnsi="宋体"/>
          <w:szCs w:val="21"/>
        </w:rPr>
        <w:t>2.</w:t>
      </w:r>
      <w:r>
        <w:rPr>
          <w:rFonts w:hint="eastAsia" w:ascii="宋体" w:hAnsi="宋体"/>
          <w:b/>
          <w:szCs w:val="21"/>
        </w:rPr>
        <w:t>定向地点：浙江象山石浦</w:t>
      </w:r>
    </w:p>
    <w:p>
      <w:pPr>
        <w:snapToGrid w:val="0"/>
        <w:spacing w:line="360" w:lineRule="auto"/>
        <w:rPr>
          <w:rFonts w:ascii="宋体"/>
          <w:szCs w:val="21"/>
        </w:rPr>
      </w:pPr>
      <w:r>
        <w:rPr>
          <w:rFonts w:ascii="宋体" w:hAnsi="宋体"/>
          <w:szCs w:val="21"/>
        </w:rPr>
        <w:t>3.</w:t>
      </w:r>
      <w:r>
        <w:rPr>
          <w:rFonts w:hint="eastAsia" w:ascii="宋体" w:hAnsi="宋体"/>
          <w:b/>
          <w:szCs w:val="21"/>
        </w:rPr>
        <w:t>时间安排：</w:t>
      </w:r>
      <w:r>
        <w:rPr>
          <w:rFonts w:ascii="宋体" w:hAnsi="宋体"/>
          <w:szCs w:val="21"/>
        </w:rPr>
        <w:t>2018</w:t>
      </w:r>
      <w:r>
        <w:rPr>
          <w:rFonts w:hint="eastAsia" w:ascii="宋体" w:hAnsi="宋体"/>
          <w:szCs w:val="21"/>
        </w:rPr>
        <w:t>年</w:t>
      </w:r>
      <w:r>
        <w:rPr>
          <w:rFonts w:ascii="宋体" w:hAnsi="宋体"/>
          <w:szCs w:val="21"/>
        </w:rPr>
        <w:t>9</w:t>
      </w:r>
      <w:r>
        <w:rPr>
          <w:rFonts w:hint="eastAsia" w:ascii="宋体" w:hAnsi="宋体"/>
          <w:szCs w:val="21"/>
        </w:rPr>
        <w:t>月</w:t>
      </w:r>
      <w:r>
        <w:rPr>
          <w:rFonts w:ascii="宋体" w:hAnsi="宋体"/>
          <w:szCs w:val="21"/>
        </w:rPr>
        <w:t>28</w:t>
      </w:r>
      <w:r>
        <w:rPr>
          <w:rFonts w:hint="eastAsia" w:ascii="宋体" w:hAnsi="宋体"/>
          <w:szCs w:val="21"/>
        </w:rPr>
        <w:t>日至</w:t>
      </w:r>
      <w:r>
        <w:rPr>
          <w:rFonts w:ascii="宋体" w:hAnsi="宋体"/>
          <w:szCs w:val="21"/>
        </w:rPr>
        <w:t>9</w:t>
      </w:r>
      <w:r>
        <w:rPr>
          <w:rFonts w:hint="eastAsia" w:ascii="宋体" w:hAnsi="宋体"/>
          <w:szCs w:val="21"/>
        </w:rPr>
        <w:t>月</w:t>
      </w:r>
      <w:r>
        <w:rPr>
          <w:rFonts w:ascii="宋体" w:hAnsi="宋体"/>
          <w:szCs w:val="21"/>
        </w:rPr>
        <w:t>30</w:t>
      </w:r>
      <w:r>
        <w:rPr>
          <w:rFonts w:hint="eastAsia" w:ascii="宋体" w:hAnsi="宋体"/>
          <w:szCs w:val="21"/>
        </w:rPr>
        <w:t>月期间（</w:t>
      </w:r>
      <w:r>
        <w:rPr>
          <w:rFonts w:ascii="宋体" w:hAnsi="宋体"/>
          <w:szCs w:val="21"/>
        </w:rPr>
        <w:t>3</w:t>
      </w:r>
      <w:r>
        <w:rPr>
          <w:rFonts w:hint="eastAsia" w:ascii="宋体" w:hAnsi="宋体"/>
          <w:szCs w:val="21"/>
        </w:rPr>
        <w:t>天</w:t>
      </w:r>
      <w:r>
        <w:rPr>
          <w:rFonts w:ascii="宋体" w:hAnsi="宋体"/>
          <w:szCs w:val="21"/>
        </w:rPr>
        <w:t>2</w:t>
      </w:r>
      <w:r>
        <w:rPr>
          <w:rFonts w:hint="eastAsia" w:ascii="宋体" w:hAnsi="宋体"/>
          <w:szCs w:val="21"/>
        </w:rPr>
        <w:t>晚行程）。</w:t>
      </w:r>
    </w:p>
    <w:p>
      <w:pPr>
        <w:snapToGrid w:val="0"/>
        <w:spacing w:line="360" w:lineRule="auto"/>
        <w:rPr>
          <w:rFonts w:ascii="宋体"/>
          <w:szCs w:val="21"/>
        </w:rPr>
      </w:pPr>
      <w:r>
        <w:rPr>
          <w:rFonts w:ascii="宋体" w:hAnsi="宋体"/>
          <w:szCs w:val="21"/>
        </w:rPr>
        <w:t>4.</w:t>
      </w:r>
      <w:r>
        <w:rPr>
          <w:rFonts w:hint="eastAsia" w:ascii="宋体" w:hAnsi="宋体"/>
          <w:b/>
          <w:szCs w:val="21"/>
        </w:rPr>
        <w:t>人员安排：杭州卖鱼桥小学教育集团教职工预定</w:t>
      </w:r>
      <w:r>
        <w:rPr>
          <w:rFonts w:ascii="宋体" w:hAnsi="宋体"/>
          <w:b/>
          <w:szCs w:val="21"/>
        </w:rPr>
        <w:t>70</w:t>
      </w:r>
      <w:r>
        <w:rPr>
          <w:rFonts w:hint="eastAsia" w:ascii="宋体" w:hAnsi="宋体"/>
          <w:b/>
          <w:szCs w:val="21"/>
        </w:rPr>
        <w:t>人</w:t>
      </w:r>
      <w:r>
        <w:rPr>
          <w:rFonts w:hint="eastAsia" w:ascii="宋体" w:hAnsi="宋体"/>
          <w:szCs w:val="21"/>
        </w:rPr>
        <w:t>（实际出行人数有变化，以最终人数为准）。</w:t>
      </w:r>
    </w:p>
    <w:p>
      <w:pPr>
        <w:snapToGrid w:val="0"/>
        <w:spacing w:line="360" w:lineRule="auto"/>
        <w:rPr>
          <w:rFonts w:ascii="宋体"/>
          <w:b/>
          <w:szCs w:val="21"/>
        </w:rPr>
      </w:pPr>
      <w:r>
        <w:rPr>
          <w:rFonts w:ascii="宋体" w:hAnsi="宋体"/>
          <w:szCs w:val="21"/>
        </w:rPr>
        <w:t>5.</w:t>
      </w:r>
      <w:r>
        <w:rPr>
          <w:rFonts w:hint="eastAsia" w:ascii="宋体" w:hAnsi="宋体"/>
          <w:b/>
          <w:szCs w:val="21"/>
        </w:rPr>
        <w:t>标书内容：</w:t>
      </w:r>
    </w:p>
    <w:p>
      <w:pPr>
        <w:snapToGrid w:val="0"/>
        <w:spacing w:line="360" w:lineRule="auto"/>
        <w:rPr>
          <w:rFonts w:ascii="宋体"/>
          <w:szCs w:val="21"/>
        </w:rPr>
      </w:pPr>
      <w:r>
        <w:rPr>
          <w:rFonts w:hint="eastAsia" w:ascii="宋体" w:hAnsi="宋体"/>
          <w:b/>
          <w:szCs w:val="21"/>
        </w:rPr>
        <w:t>（</w:t>
      </w:r>
      <w:r>
        <w:rPr>
          <w:rFonts w:ascii="宋体" w:hAnsi="宋体"/>
          <w:b/>
          <w:szCs w:val="21"/>
        </w:rPr>
        <w:t>1</w:t>
      </w:r>
      <w:r>
        <w:rPr>
          <w:rFonts w:hint="eastAsia" w:ascii="宋体" w:hAnsi="宋体"/>
          <w:b/>
          <w:szCs w:val="21"/>
        </w:rPr>
        <w:t>）技术标：</w:t>
      </w:r>
      <w:r>
        <w:rPr>
          <w:rFonts w:hint="eastAsia" w:ascii="宋体" w:hAnsi="宋体"/>
          <w:szCs w:val="21"/>
        </w:rPr>
        <w:t>由中标人按主办方要求提供详细活动方案要求为：整个活动要突出疗休养特色，</w:t>
      </w:r>
      <w:r>
        <w:rPr>
          <w:rFonts w:ascii="宋体" w:hAnsi="宋体"/>
          <w:szCs w:val="21"/>
        </w:rPr>
        <w:t>3</w:t>
      </w:r>
      <w:r>
        <w:rPr>
          <w:rFonts w:hint="eastAsia" w:ascii="宋体" w:hAnsi="宋体"/>
          <w:szCs w:val="21"/>
        </w:rPr>
        <w:t>天</w:t>
      </w:r>
      <w:r>
        <w:rPr>
          <w:rFonts w:ascii="宋体" w:hAnsi="宋体"/>
          <w:szCs w:val="21"/>
        </w:rPr>
        <w:t>2</w:t>
      </w:r>
      <w:r>
        <w:rPr>
          <w:rFonts w:hint="eastAsia" w:ascii="宋体" w:hAnsi="宋体"/>
          <w:szCs w:val="21"/>
        </w:rPr>
        <w:t>晚行程做到整体细化方案。中标人至少安排二名委派的工作人员，且熟悉当地情况，全程陪同并做好各项服务（含接送服务）。</w:t>
      </w:r>
    </w:p>
    <w:p>
      <w:pPr>
        <w:snapToGrid w:val="0"/>
        <w:spacing w:line="360" w:lineRule="auto"/>
        <w:rPr>
          <w:rFonts w:ascii="宋体"/>
          <w:szCs w:val="21"/>
        </w:rPr>
      </w:pPr>
      <w:r>
        <w:rPr>
          <w:rFonts w:hint="eastAsia" w:ascii="宋体" w:hAnsi="宋体"/>
          <w:b/>
          <w:szCs w:val="21"/>
        </w:rPr>
        <w:t>（</w:t>
      </w:r>
      <w:r>
        <w:rPr>
          <w:rFonts w:ascii="宋体" w:hAnsi="宋体"/>
          <w:b/>
          <w:szCs w:val="21"/>
        </w:rPr>
        <w:t>2</w:t>
      </w:r>
      <w:r>
        <w:rPr>
          <w:rFonts w:hint="eastAsia" w:ascii="宋体" w:hAnsi="宋体"/>
          <w:b/>
          <w:szCs w:val="21"/>
        </w:rPr>
        <w:t>）商务标：</w:t>
      </w:r>
      <w:r>
        <w:rPr>
          <w:rFonts w:hint="eastAsia" w:ascii="宋体" w:hAnsi="宋体"/>
          <w:szCs w:val="21"/>
        </w:rPr>
        <w:t>报价体现涵盖行程、住宿、所有大小交通、用餐、所有大小门票、服务等完整的单列人均报价。报价</w:t>
      </w:r>
    </w:p>
    <w:p>
      <w:pPr>
        <w:snapToGrid w:val="0"/>
        <w:spacing w:line="360" w:lineRule="auto"/>
        <w:rPr>
          <w:rFonts w:ascii="宋体"/>
          <w:szCs w:val="21"/>
        </w:rPr>
      </w:pPr>
      <w:r>
        <w:rPr>
          <w:rFonts w:ascii="宋体" w:hAnsi="宋体"/>
          <w:b/>
          <w:szCs w:val="21"/>
        </w:rPr>
        <w:t>6</w:t>
      </w:r>
      <w:r>
        <w:rPr>
          <w:rFonts w:ascii="宋体"/>
          <w:szCs w:val="21"/>
        </w:rPr>
        <w:t>.</w:t>
      </w:r>
      <w:r>
        <w:rPr>
          <w:rFonts w:hint="eastAsia" w:ascii="宋体" w:hAnsi="宋体"/>
          <w:b/>
          <w:szCs w:val="21"/>
        </w:rPr>
        <w:t>特殊事项：</w:t>
      </w:r>
      <w:r>
        <w:rPr>
          <w:rFonts w:hint="eastAsia" w:ascii="宋体" w:hAnsi="宋体"/>
          <w:szCs w:val="21"/>
        </w:rPr>
        <w:t>中标方作为本次活动的主办方，具体组织学校教职工开展整个疗休养活动；中标人承担本次活动的全部安全责任。</w:t>
      </w:r>
    </w:p>
    <w:p>
      <w:pPr>
        <w:widowControl/>
        <w:jc w:val="left"/>
        <w:rPr>
          <w:rFonts w:ascii="宋体"/>
          <w:b/>
          <w:szCs w:val="21"/>
        </w:rPr>
      </w:pPr>
      <w:r>
        <w:rPr>
          <w:rFonts w:ascii="宋体" w:hAnsi="宋体"/>
          <w:b/>
          <w:szCs w:val="21"/>
        </w:rPr>
        <w:t>7</w:t>
      </w:r>
      <w:r>
        <w:rPr>
          <w:rFonts w:ascii="宋体"/>
          <w:b/>
          <w:szCs w:val="21"/>
        </w:rPr>
        <w:t>.</w:t>
      </w:r>
      <w:r>
        <w:rPr>
          <w:rFonts w:ascii="宋体" w:hAnsi="宋体"/>
          <w:bCs/>
          <w:szCs w:val="21"/>
        </w:rPr>
        <w:t>2018</w:t>
      </w:r>
      <w:r>
        <w:rPr>
          <w:rFonts w:hint="eastAsia" w:ascii="宋体" w:hAnsi="宋体"/>
          <w:bCs/>
          <w:szCs w:val="21"/>
        </w:rPr>
        <w:t>杭州市卖鱼桥</w:t>
      </w:r>
      <w:r>
        <w:rPr>
          <w:rFonts w:hint="eastAsia" w:ascii="lucida Grande" w:hAnsi="lucida Grande" w:cs="lucida Grande"/>
          <w:bCs/>
          <w:szCs w:val="21"/>
          <w:shd w:val="clear" w:color="auto" w:fill="FFFFFF"/>
        </w:rPr>
        <w:t>小学赴象山石浦疗休养</w:t>
      </w:r>
      <w:r>
        <w:rPr>
          <w:rFonts w:hint="eastAsia" w:ascii="宋体" w:hAnsi="宋体"/>
          <w:bCs/>
          <w:szCs w:val="21"/>
        </w:rPr>
        <w:t>活动行程由供应商自行优化和设计</w:t>
      </w:r>
      <w:r>
        <w:rPr>
          <w:rFonts w:hint="eastAsia" w:ascii="宋体" w:hAnsi="宋体"/>
          <w:b/>
          <w:szCs w:val="21"/>
        </w:rPr>
        <w:t>：</w:t>
      </w:r>
      <w:r>
        <w:rPr>
          <w:rFonts w:ascii="宋体" w:hAnsi="宋体"/>
          <w:b/>
          <w:szCs w:val="21"/>
        </w:rPr>
        <w:t xml:space="preserve"> </w:t>
      </w:r>
    </w:p>
    <w:p>
      <w:pPr>
        <w:widowControl/>
        <w:jc w:val="left"/>
        <w:rPr>
          <w:rFonts w:ascii="宋体"/>
          <w:b/>
          <w:szCs w:val="21"/>
        </w:rPr>
      </w:pPr>
      <w:r>
        <w:rPr>
          <w:rFonts w:ascii="宋体" w:hAnsi="宋体"/>
          <w:b/>
          <w:szCs w:val="21"/>
        </w:rPr>
        <w:t>8.</w:t>
      </w:r>
      <w:r>
        <w:rPr>
          <w:rFonts w:hint="eastAsia"/>
          <w:szCs w:val="21"/>
        </w:rPr>
        <w:t>全程无自费项目，且不安排购物</w:t>
      </w:r>
    </w:p>
    <w:p>
      <w:pPr>
        <w:pStyle w:val="5"/>
        <w:snapToGrid w:val="0"/>
        <w:spacing w:before="156" w:line="360" w:lineRule="auto"/>
        <w:rPr>
          <w:rFonts w:hAnsi="宋体"/>
          <w:sz w:val="11"/>
          <w:szCs w:val="11"/>
        </w:rPr>
      </w:pPr>
    </w:p>
    <w:p>
      <w:pPr>
        <w:pStyle w:val="5"/>
        <w:spacing w:before="156" w:line="380" w:lineRule="exact"/>
        <w:ind w:firstLine="562" w:firstLineChars="200"/>
        <w:rPr>
          <w:rFonts w:hAnsi="宋体"/>
          <w:b/>
          <w:sz w:val="28"/>
          <w:szCs w:val="28"/>
        </w:rPr>
      </w:pPr>
    </w:p>
    <w:p>
      <w:pPr>
        <w:pStyle w:val="5"/>
        <w:spacing w:before="156" w:line="380" w:lineRule="exact"/>
        <w:ind w:firstLine="602" w:firstLineChars="200"/>
        <w:rPr>
          <w:rFonts w:hAnsi="宋体"/>
          <w:b/>
          <w:sz w:val="30"/>
          <w:szCs w:val="30"/>
        </w:rPr>
      </w:pPr>
    </w:p>
    <w:p>
      <w:pPr>
        <w:pStyle w:val="5"/>
        <w:spacing w:before="156" w:line="380" w:lineRule="exact"/>
        <w:ind w:firstLine="602" w:firstLineChars="200"/>
        <w:rPr>
          <w:rFonts w:hAnsi="宋体"/>
          <w:b/>
          <w:sz w:val="30"/>
          <w:szCs w:val="30"/>
        </w:rPr>
      </w:pPr>
    </w:p>
    <w:p>
      <w:pPr>
        <w:pStyle w:val="5"/>
        <w:spacing w:before="156" w:line="380" w:lineRule="exact"/>
        <w:ind w:firstLine="602" w:firstLineChars="200"/>
        <w:rPr>
          <w:rFonts w:hAnsi="宋体"/>
          <w:b/>
          <w:sz w:val="30"/>
          <w:szCs w:val="30"/>
        </w:rPr>
      </w:pPr>
    </w:p>
    <w:p>
      <w:pPr>
        <w:pStyle w:val="5"/>
        <w:spacing w:before="156" w:line="380" w:lineRule="exact"/>
        <w:ind w:firstLine="602" w:firstLineChars="200"/>
        <w:rPr>
          <w:rFonts w:hAnsi="宋体"/>
          <w:b/>
          <w:sz w:val="30"/>
          <w:szCs w:val="30"/>
        </w:rPr>
      </w:pPr>
    </w:p>
    <w:p>
      <w:pPr>
        <w:pStyle w:val="5"/>
        <w:spacing w:before="156" w:line="380" w:lineRule="exact"/>
        <w:ind w:firstLine="602" w:firstLineChars="200"/>
        <w:rPr>
          <w:rFonts w:hAnsi="宋体"/>
          <w:b/>
          <w:sz w:val="30"/>
          <w:szCs w:val="30"/>
        </w:rPr>
      </w:pPr>
    </w:p>
    <w:p>
      <w:pPr>
        <w:pStyle w:val="5"/>
        <w:spacing w:before="156" w:line="380" w:lineRule="exact"/>
        <w:ind w:firstLine="602" w:firstLineChars="200"/>
        <w:rPr>
          <w:rFonts w:hAnsi="宋体"/>
          <w:b/>
          <w:sz w:val="30"/>
          <w:szCs w:val="30"/>
        </w:rPr>
      </w:pPr>
    </w:p>
    <w:p>
      <w:pPr>
        <w:pStyle w:val="5"/>
        <w:spacing w:before="156" w:line="380" w:lineRule="exact"/>
        <w:ind w:firstLine="602" w:firstLineChars="200"/>
        <w:rPr>
          <w:rFonts w:hAnsi="宋体"/>
          <w:b/>
          <w:sz w:val="30"/>
          <w:szCs w:val="30"/>
        </w:rPr>
      </w:pPr>
    </w:p>
    <w:p>
      <w:pPr>
        <w:pStyle w:val="5"/>
        <w:spacing w:before="156" w:line="380" w:lineRule="exact"/>
        <w:ind w:firstLine="3162" w:firstLineChars="1050"/>
        <w:rPr>
          <w:rFonts w:hAnsi="宋体"/>
          <w:b/>
          <w:sz w:val="30"/>
          <w:szCs w:val="30"/>
        </w:rPr>
      </w:pPr>
    </w:p>
    <w:p>
      <w:pPr>
        <w:pStyle w:val="5"/>
        <w:spacing w:before="156" w:line="380" w:lineRule="exact"/>
        <w:ind w:firstLine="3162" w:firstLineChars="1050"/>
        <w:rPr>
          <w:rFonts w:hAnsi="宋体"/>
          <w:b/>
          <w:sz w:val="30"/>
          <w:szCs w:val="30"/>
        </w:rPr>
      </w:pPr>
    </w:p>
    <w:p>
      <w:pPr>
        <w:pStyle w:val="5"/>
        <w:spacing w:before="156" w:line="380" w:lineRule="exact"/>
        <w:ind w:firstLine="3162" w:firstLineChars="1050"/>
        <w:rPr>
          <w:rFonts w:hAnsi="宋体"/>
          <w:b/>
          <w:sz w:val="30"/>
          <w:szCs w:val="30"/>
        </w:rPr>
      </w:pPr>
    </w:p>
    <w:p>
      <w:pPr>
        <w:pStyle w:val="5"/>
        <w:spacing w:before="156" w:line="380" w:lineRule="exact"/>
        <w:ind w:firstLine="3162" w:firstLineChars="1050"/>
        <w:rPr>
          <w:rFonts w:hAnsi="宋体"/>
          <w:b/>
          <w:sz w:val="28"/>
          <w:szCs w:val="28"/>
        </w:rPr>
      </w:pPr>
      <w:r>
        <w:rPr>
          <w:rFonts w:hint="eastAsia" w:hAnsi="宋体"/>
          <w:b/>
          <w:sz w:val="30"/>
          <w:szCs w:val="30"/>
        </w:rPr>
        <w:t>第三章</w:t>
      </w:r>
      <w:r>
        <w:rPr>
          <w:rFonts w:hAnsi="宋体"/>
          <w:b/>
          <w:sz w:val="30"/>
          <w:szCs w:val="30"/>
        </w:rPr>
        <w:t xml:space="preserve">  </w:t>
      </w:r>
      <w:r>
        <w:rPr>
          <w:rFonts w:hint="eastAsia" w:hAnsi="宋体"/>
          <w:b/>
          <w:sz w:val="30"/>
          <w:szCs w:val="30"/>
        </w:rPr>
        <w:t>投标人须知</w:t>
      </w:r>
    </w:p>
    <w:p>
      <w:pPr>
        <w:pStyle w:val="5"/>
        <w:spacing w:before="156" w:line="380" w:lineRule="exact"/>
        <w:ind w:firstLine="562" w:firstLineChars="200"/>
        <w:jc w:val="center"/>
        <w:rPr>
          <w:rFonts w:hAnsi="宋体"/>
          <w:b/>
          <w:sz w:val="28"/>
          <w:szCs w:val="28"/>
        </w:rPr>
      </w:pPr>
    </w:p>
    <w:p>
      <w:pPr>
        <w:pStyle w:val="5"/>
        <w:spacing w:before="156" w:line="380" w:lineRule="exact"/>
        <w:ind w:firstLine="562" w:firstLineChars="200"/>
        <w:jc w:val="center"/>
        <w:rPr>
          <w:rFonts w:hAnsi="宋体"/>
          <w:b/>
          <w:sz w:val="28"/>
          <w:szCs w:val="28"/>
        </w:rPr>
      </w:pPr>
      <w:r>
        <w:rPr>
          <w:rFonts w:hint="eastAsia" w:hAnsi="宋体"/>
          <w:b/>
          <w:sz w:val="28"/>
          <w:szCs w:val="28"/>
        </w:rPr>
        <w:t>投标须知前附表</w:t>
      </w:r>
    </w:p>
    <w:tbl>
      <w:tblPr>
        <w:tblStyle w:val="12"/>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2"/>
              <w:ind w:firstLine="0"/>
              <w:jc w:val="center"/>
              <w:rPr>
                <w:rFonts w:ascii="宋体" w:eastAsia="宋体"/>
                <w:b/>
                <w:sz w:val="24"/>
                <w:szCs w:val="24"/>
              </w:rPr>
            </w:pPr>
            <w:r>
              <w:rPr>
                <w:rFonts w:hint="eastAsia" w:ascii="宋体" w:hAnsi="宋体"/>
                <w:b/>
                <w:sz w:val="24"/>
                <w:szCs w:val="24"/>
              </w:rPr>
              <w:t>序号</w:t>
            </w:r>
          </w:p>
        </w:tc>
        <w:tc>
          <w:tcPr>
            <w:tcW w:w="1985" w:type="dxa"/>
            <w:vAlign w:val="center"/>
          </w:tcPr>
          <w:p>
            <w:pPr>
              <w:pStyle w:val="2"/>
              <w:ind w:firstLine="0"/>
              <w:jc w:val="center"/>
              <w:rPr>
                <w:rFonts w:ascii="宋体" w:eastAsia="宋体"/>
                <w:b/>
                <w:sz w:val="24"/>
                <w:szCs w:val="24"/>
              </w:rPr>
            </w:pPr>
            <w:r>
              <w:rPr>
                <w:rFonts w:hint="eastAsia" w:ascii="宋体" w:hAnsi="宋体"/>
                <w:b/>
                <w:sz w:val="24"/>
                <w:szCs w:val="24"/>
              </w:rPr>
              <w:t>内容</w:t>
            </w:r>
          </w:p>
        </w:tc>
        <w:tc>
          <w:tcPr>
            <w:tcW w:w="7229" w:type="dxa"/>
            <w:vAlign w:val="center"/>
          </w:tcPr>
          <w:p>
            <w:pPr>
              <w:pStyle w:val="2"/>
              <w:ind w:firstLine="0"/>
              <w:jc w:val="center"/>
              <w:rPr>
                <w:rFonts w:ascii="宋体" w:eastAsia="宋体"/>
                <w:b/>
                <w:sz w:val="24"/>
                <w:szCs w:val="24"/>
              </w:rPr>
            </w:pPr>
            <w:r>
              <w:rPr>
                <w:rFonts w:hint="eastAsia" w:ascii="宋体" w:hAnsi="宋体"/>
                <w:b/>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2"/>
              <w:ind w:firstLine="0"/>
              <w:jc w:val="center"/>
              <w:rPr>
                <w:rFonts w:ascii="宋体" w:eastAsia="宋体"/>
                <w:sz w:val="24"/>
                <w:szCs w:val="24"/>
              </w:rPr>
            </w:pPr>
            <w:r>
              <w:rPr>
                <w:rFonts w:ascii="宋体" w:hAnsi="宋体"/>
                <w:sz w:val="24"/>
                <w:szCs w:val="24"/>
              </w:rPr>
              <w:t>10</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投标报价</w:t>
            </w:r>
          </w:p>
        </w:tc>
        <w:tc>
          <w:tcPr>
            <w:tcW w:w="7229" w:type="dxa"/>
            <w:vAlign w:val="center"/>
          </w:tcPr>
          <w:p>
            <w:pPr>
              <w:pStyle w:val="2"/>
              <w:ind w:firstLine="0"/>
              <w:rPr>
                <w:rFonts w:ascii="宋体" w:hAnsi="宋体" w:eastAsia="宋体"/>
                <w:sz w:val="24"/>
                <w:szCs w:val="24"/>
              </w:rPr>
            </w:pPr>
            <w:r>
              <w:rPr>
                <w:rFonts w:hint="eastAsia" w:ascii="宋体" w:hAnsi="宋体" w:eastAsia="宋体"/>
                <w:sz w:val="24"/>
                <w:szCs w:val="24"/>
              </w:rPr>
              <w:t>本项目采用按具体成行人员数乘以投标单价进行结算，报价应包括完成合同所涉及行程、住宿、所有大小交通、用餐、所有大小门票、服务的全部内容，以及税金、人工、管理、合理利润等一切成本及费用（以上所有费用包含在综合单价中，不另列）。且不高于每人疗休养标准</w:t>
            </w:r>
            <w:r>
              <w:rPr>
                <w:rFonts w:ascii="宋体" w:hAnsi="宋体" w:eastAsia="宋体"/>
                <w:sz w:val="24"/>
                <w:szCs w:val="24"/>
              </w:rPr>
              <w:t>2000</w:t>
            </w:r>
            <w:r>
              <w:rPr>
                <w:rFonts w:hint="eastAsia" w:ascii="宋体" w:hAnsi="宋体" w:eastAsia="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2"/>
              <w:ind w:firstLine="0"/>
              <w:jc w:val="center"/>
              <w:rPr>
                <w:rFonts w:ascii="宋体" w:eastAsia="宋体"/>
                <w:sz w:val="24"/>
                <w:szCs w:val="24"/>
              </w:rPr>
            </w:pPr>
            <w:r>
              <w:rPr>
                <w:rFonts w:ascii="宋体" w:hAnsi="宋体"/>
                <w:sz w:val="24"/>
                <w:szCs w:val="24"/>
              </w:rPr>
              <w:t>11</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投标保证金</w:t>
            </w:r>
          </w:p>
        </w:tc>
        <w:tc>
          <w:tcPr>
            <w:tcW w:w="7229" w:type="dxa"/>
            <w:vAlign w:val="center"/>
          </w:tcPr>
          <w:p>
            <w:pPr>
              <w:spacing w:line="360" w:lineRule="auto"/>
              <w:rPr>
                <w:rFonts w:ascii="宋体"/>
                <w:sz w:val="24"/>
                <w:szCs w:val="24"/>
              </w:rPr>
            </w:pPr>
            <w:r>
              <w:rPr>
                <w:rFonts w:hint="eastAsia" w:ascii="宋体" w:hAnsi="宋体"/>
                <w:b/>
                <w:sz w:val="24"/>
                <w:szCs w:val="24"/>
              </w:rPr>
              <w:t>投标保证金：</w:t>
            </w:r>
            <w:r>
              <w:rPr>
                <w:rFonts w:hint="eastAsia" w:ascii="宋体" w:hAnsi="宋体"/>
                <w:sz w:val="24"/>
                <w:szCs w:val="24"/>
              </w:rPr>
              <w:t>人民币</w:t>
            </w:r>
            <w:r>
              <w:rPr>
                <w:rFonts w:ascii="宋体" w:hAnsi="宋体"/>
                <w:sz w:val="24"/>
                <w:szCs w:val="24"/>
              </w:rPr>
              <w:t>1000</w:t>
            </w:r>
            <w:r>
              <w:rPr>
                <w:rFonts w:hint="eastAsia" w:ascii="宋体" w:hAnsi="宋体"/>
                <w:sz w:val="24"/>
                <w:szCs w:val="24"/>
              </w:rPr>
              <w:t>元</w:t>
            </w:r>
          </w:p>
          <w:p>
            <w:pPr>
              <w:spacing w:line="360" w:lineRule="auto"/>
              <w:rPr>
                <w:rFonts w:ascii="宋体"/>
                <w:sz w:val="24"/>
                <w:szCs w:val="24"/>
              </w:rPr>
            </w:pPr>
            <w:r>
              <w:rPr>
                <w:rFonts w:hint="eastAsia" w:ascii="宋体" w:hAnsi="宋体"/>
                <w:sz w:val="24"/>
                <w:szCs w:val="24"/>
              </w:rPr>
              <w:t>交付方式：电汇或银行转账（非现金形式，自行缴纳至学校账户）</w:t>
            </w:r>
          </w:p>
          <w:p>
            <w:pPr>
              <w:spacing w:line="360" w:lineRule="auto"/>
              <w:rPr>
                <w:rFonts w:ascii="宋体"/>
                <w:sz w:val="24"/>
                <w:szCs w:val="24"/>
              </w:rPr>
            </w:pPr>
            <w:r>
              <w:rPr>
                <w:rFonts w:hint="eastAsia" w:ascii="宋体" w:hAnsi="宋体"/>
                <w:sz w:val="24"/>
                <w:szCs w:val="24"/>
              </w:rPr>
              <w:t>收款单位（户名）：杭州市卖鱼桥小学</w:t>
            </w:r>
          </w:p>
          <w:p>
            <w:pPr>
              <w:spacing w:line="360" w:lineRule="auto"/>
              <w:rPr>
                <w:rFonts w:ascii="宋体"/>
                <w:sz w:val="24"/>
                <w:szCs w:val="24"/>
              </w:rPr>
            </w:pPr>
            <w:r>
              <w:rPr>
                <w:rFonts w:hint="eastAsia" w:ascii="宋体" w:hAnsi="宋体"/>
                <w:sz w:val="24"/>
                <w:szCs w:val="24"/>
              </w:rPr>
              <w:t>开户银行：工行湖墅支行</w:t>
            </w:r>
          </w:p>
          <w:p>
            <w:pPr>
              <w:spacing w:line="360" w:lineRule="auto"/>
              <w:rPr>
                <w:rFonts w:ascii="宋体"/>
                <w:sz w:val="24"/>
                <w:szCs w:val="24"/>
              </w:rPr>
            </w:pPr>
            <w:r>
              <w:rPr>
                <w:rFonts w:hint="eastAsia" w:ascii="宋体" w:hAnsi="宋体"/>
                <w:sz w:val="24"/>
                <w:szCs w:val="24"/>
              </w:rPr>
              <w:t>银行账号：</w:t>
            </w:r>
            <w:r>
              <w:rPr>
                <w:rFonts w:ascii="宋体" w:hAnsi="宋体"/>
                <w:sz w:val="24"/>
                <w:szCs w:val="24"/>
              </w:rPr>
              <w:t>1202020609014421622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2"/>
              <w:ind w:firstLine="0"/>
              <w:jc w:val="center"/>
              <w:rPr>
                <w:rFonts w:ascii="宋体" w:eastAsia="宋体"/>
                <w:sz w:val="24"/>
                <w:szCs w:val="24"/>
              </w:rPr>
            </w:pPr>
            <w:r>
              <w:rPr>
                <w:rFonts w:ascii="宋体" w:hAnsi="宋体"/>
                <w:sz w:val="24"/>
                <w:szCs w:val="24"/>
              </w:rPr>
              <w:t>12</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投标文件份数</w:t>
            </w:r>
          </w:p>
          <w:p>
            <w:pPr>
              <w:pStyle w:val="2"/>
              <w:ind w:firstLine="0"/>
              <w:jc w:val="center"/>
              <w:rPr>
                <w:rFonts w:ascii="宋体" w:eastAsia="宋体"/>
                <w:sz w:val="24"/>
                <w:szCs w:val="24"/>
              </w:rPr>
            </w:pPr>
            <w:r>
              <w:rPr>
                <w:rFonts w:hint="eastAsia" w:ascii="宋体" w:hAnsi="宋体"/>
                <w:sz w:val="24"/>
                <w:szCs w:val="24"/>
              </w:rPr>
              <w:t>及封装</w:t>
            </w:r>
          </w:p>
        </w:tc>
        <w:tc>
          <w:tcPr>
            <w:tcW w:w="7229" w:type="dxa"/>
            <w:vAlign w:val="center"/>
          </w:tcPr>
          <w:p>
            <w:pPr>
              <w:pStyle w:val="2"/>
              <w:ind w:firstLine="0"/>
              <w:rPr>
                <w:rFonts w:ascii="宋体" w:eastAsia="宋体"/>
                <w:sz w:val="24"/>
                <w:szCs w:val="24"/>
              </w:rPr>
            </w:pPr>
            <w:r>
              <w:rPr>
                <w:rFonts w:hint="eastAsia" w:ascii="宋体" w:hAnsi="宋体"/>
                <w:sz w:val="24"/>
                <w:szCs w:val="24"/>
              </w:rPr>
              <w:t>投标文件由</w:t>
            </w:r>
            <w:r>
              <w:rPr>
                <w:rFonts w:hint="eastAsia" w:ascii="宋体" w:eastAsia="宋体"/>
                <w:sz w:val="24"/>
                <w:szCs w:val="24"/>
              </w:rPr>
              <w:t>“</w:t>
            </w:r>
            <w:r>
              <w:rPr>
                <w:rFonts w:hint="eastAsia" w:ascii="宋体" w:hAnsi="宋体"/>
                <w:sz w:val="24"/>
                <w:szCs w:val="24"/>
              </w:rPr>
              <w:t>报价文件</w:t>
            </w:r>
            <w:r>
              <w:rPr>
                <w:rFonts w:hint="eastAsia" w:ascii="宋体" w:eastAsia="宋体"/>
                <w:sz w:val="24"/>
                <w:szCs w:val="24"/>
              </w:rPr>
              <w:t>”</w:t>
            </w:r>
            <w:r>
              <w:rPr>
                <w:rFonts w:hint="eastAsia" w:ascii="宋体" w:hAnsi="宋体"/>
                <w:sz w:val="24"/>
                <w:szCs w:val="24"/>
              </w:rPr>
              <w:t>和</w:t>
            </w:r>
            <w:r>
              <w:rPr>
                <w:rFonts w:hint="eastAsia" w:ascii="宋体" w:eastAsia="宋体"/>
                <w:sz w:val="24"/>
                <w:szCs w:val="24"/>
              </w:rPr>
              <w:t>“</w:t>
            </w:r>
            <w:r>
              <w:rPr>
                <w:rFonts w:hint="eastAsia" w:ascii="宋体" w:hAnsi="宋体"/>
                <w:sz w:val="24"/>
                <w:szCs w:val="24"/>
              </w:rPr>
              <w:t>技术资信文件</w:t>
            </w:r>
            <w:r>
              <w:rPr>
                <w:rFonts w:hint="eastAsia" w:ascii="宋体" w:eastAsia="宋体"/>
                <w:sz w:val="24"/>
                <w:szCs w:val="24"/>
              </w:rPr>
              <w:t>”</w:t>
            </w:r>
            <w:r>
              <w:rPr>
                <w:rFonts w:hint="eastAsia" w:ascii="宋体" w:hAnsi="宋体"/>
                <w:sz w:val="24"/>
                <w:szCs w:val="24"/>
              </w:rPr>
              <w:t>组成，正本各一册、副本各四册。</w:t>
            </w:r>
            <w:r>
              <w:rPr>
                <w:rFonts w:hint="eastAsia" w:ascii="宋体" w:eastAsia="宋体"/>
                <w:sz w:val="24"/>
                <w:szCs w:val="24"/>
              </w:rPr>
              <w:t>“</w:t>
            </w:r>
            <w:r>
              <w:rPr>
                <w:rFonts w:hint="eastAsia" w:ascii="宋体" w:hAnsi="宋体"/>
                <w:sz w:val="24"/>
                <w:szCs w:val="24"/>
              </w:rPr>
              <w:t>报价文件</w:t>
            </w:r>
            <w:r>
              <w:rPr>
                <w:rFonts w:hint="eastAsia" w:ascii="宋体" w:eastAsia="宋体"/>
                <w:sz w:val="24"/>
                <w:szCs w:val="24"/>
              </w:rPr>
              <w:t>”</w:t>
            </w:r>
            <w:r>
              <w:rPr>
                <w:rFonts w:hint="eastAsia" w:ascii="宋体" w:hAnsi="宋体"/>
                <w:b/>
                <w:sz w:val="24"/>
                <w:szCs w:val="24"/>
              </w:rPr>
              <w:t>（一正四副）</w:t>
            </w:r>
            <w:r>
              <w:rPr>
                <w:rFonts w:hint="eastAsia" w:ascii="宋体" w:hAnsi="宋体"/>
                <w:sz w:val="24"/>
                <w:szCs w:val="24"/>
              </w:rPr>
              <w:t>和</w:t>
            </w:r>
            <w:r>
              <w:rPr>
                <w:rFonts w:hint="eastAsia" w:ascii="宋体" w:eastAsia="宋体"/>
                <w:sz w:val="24"/>
                <w:szCs w:val="24"/>
              </w:rPr>
              <w:t>“</w:t>
            </w:r>
            <w:r>
              <w:rPr>
                <w:rFonts w:hint="eastAsia" w:ascii="宋体" w:hAnsi="宋体"/>
                <w:sz w:val="24"/>
                <w:szCs w:val="24"/>
              </w:rPr>
              <w:t>技术资信文件</w:t>
            </w:r>
            <w:r>
              <w:rPr>
                <w:rFonts w:hint="eastAsia" w:ascii="宋体" w:eastAsia="宋体"/>
                <w:sz w:val="24"/>
                <w:szCs w:val="24"/>
              </w:rPr>
              <w:t>”</w:t>
            </w:r>
            <w:r>
              <w:rPr>
                <w:rFonts w:hint="eastAsia" w:ascii="宋体" w:hAnsi="宋体"/>
                <w:b/>
                <w:sz w:val="24"/>
                <w:szCs w:val="24"/>
              </w:rPr>
              <w:t>（一正四副）分开密封包装。</w:t>
            </w:r>
          </w:p>
          <w:p>
            <w:pPr>
              <w:pStyle w:val="2"/>
              <w:ind w:firstLine="0"/>
              <w:rPr>
                <w:rFonts w:ascii="宋体" w:eastAsia="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hint="eastAsia" w:ascii="宋体" w:eastAsia="宋体"/>
                <w:sz w:val="24"/>
                <w:szCs w:val="24"/>
              </w:rPr>
              <w:t>“</w:t>
            </w:r>
            <w:r>
              <w:rPr>
                <w:rFonts w:hint="eastAsia" w:ascii="宋体" w:hAnsi="宋体"/>
                <w:sz w:val="24"/>
                <w:szCs w:val="24"/>
              </w:rPr>
              <w:t>报价文件</w:t>
            </w:r>
            <w:r>
              <w:rPr>
                <w:rFonts w:hint="eastAsia" w:ascii="宋体" w:eastAsia="宋体"/>
                <w:sz w:val="24"/>
                <w:szCs w:val="24"/>
              </w:rPr>
              <w:t>”</w:t>
            </w:r>
            <w:r>
              <w:rPr>
                <w:rFonts w:hint="eastAsia" w:ascii="宋体" w:hAnsi="宋体"/>
                <w:sz w:val="24"/>
                <w:szCs w:val="24"/>
              </w:rPr>
              <w:t>和</w:t>
            </w:r>
            <w:r>
              <w:rPr>
                <w:rFonts w:hint="eastAsia" w:ascii="宋体" w:eastAsia="宋体"/>
                <w:sz w:val="24"/>
                <w:szCs w:val="24"/>
              </w:rPr>
              <w:t>“</w:t>
            </w:r>
            <w:r>
              <w:rPr>
                <w:rFonts w:hint="eastAsia" w:ascii="宋体" w:hAnsi="宋体"/>
                <w:sz w:val="24"/>
                <w:szCs w:val="24"/>
              </w:rPr>
              <w:t>技术资信文件</w:t>
            </w:r>
            <w:r>
              <w:rPr>
                <w:rFonts w:hint="eastAsia" w:ascii="宋体" w:eastAsia="宋体"/>
                <w:sz w:val="24"/>
                <w:szCs w:val="24"/>
              </w:rPr>
              <w:t>”</w:t>
            </w:r>
            <w:r>
              <w:rPr>
                <w:rFonts w:hint="eastAsia" w:ascii="宋体" w:hAnsi="宋体"/>
                <w:sz w:val="24"/>
                <w:szCs w:val="24"/>
              </w:rPr>
              <w:t>必须分开装订成册，不得混装成一册，否则作无效标处理。（</w:t>
            </w:r>
            <w:r>
              <w:rPr>
                <w:rFonts w:ascii="宋体" w:hAnsi="宋体"/>
                <w:sz w:val="24"/>
                <w:szCs w:val="24"/>
              </w:rPr>
              <w:t>2</w:t>
            </w:r>
            <w:r>
              <w:rPr>
                <w:rFonts w:hint="eastAsia" w:ascii="宋体" w:hAnsi="宋体"/>
                <w:sz w:val="24"/>
                <w:szCs w:val="24"/>
              </w:rPr>
              <w:t>）</w:t>
            </w:r>
            <w:r>
              <w:rPr>
                <w:rFonts w:hint="eastAsia" w:ascii="宋体" w:eastAsia="宋体"/>
                <w:sz w:val="24"/>
                <w:szCs w:val="24"/>
              </w:rPr>
              <w:t>“</w:t>
            </w:r>
            <w:r>
              <w:rPr>
                <w:rFonts w:hint="eastAsia" w:ascii="宋体" w:hAnsi="宋体"/>
                <w:sz w:val="24"/>
                <w:szCs w:val="24"/>
              </w:rPr>
              <w:t>报价文件</w:t>
            </w:r>
            <w:r>
              <w:rPr>
                <w:rFonts w:hint="eastAsia" w:ascii="宋体" w:eastAsia="宋体"/>
                <w:sz w:val="24"/>
                <w:szCs w:val="24"/>
              </w:rPr>
              <w:t>”</w:t>
            </w:r>
            <w:r>
              <w:rPr>
                <w:rFonts w:hint="eastAsia" w:ascii="宋体" w:hAnsi="宋体"/>
                <w:sz w:val="24"/>
                <w:szCs w:val="24"/>
              </w:rPr>
              <w:t>和</w:t>
            </w:r>
            <w:r>
              <w:rPr>
                <w:rFonts w:hint="eastAsia" w:ascii="宋体" w:eastAsia="宋体"/>
                <w:sz w:val="24"/>
                <w:szCs w:val="24"/>
              </w:rPr>
              <w:t>“</w:t>
            </w:r>
            <w:r>
              <w:rPr>
                <w:rFonts w:hint="eastAsia" w:ascii="宋体" w:hAnsi="宋体"/>
                <w:sz w:val="24"/>
                <w:szCs w:val="24"/>
              </w:rPr>
              <w:t>技术资信文件</w:t>
            </w:r>
            <w:r>
              <w:rPr>
                <w:rFonts w:hint="eastAsia" w:ascii="宋体" w:eastAsia="宋体"/>
                <w:sz w:val="24"/>
                <w:szCs w:val="24"/>
              </w:rPr>
              <w:t>”</w:t>
            </w:r>
            <w:r>
              <w:rPr>
                <w:rFonts w:hint="eastAsia" w:ascii="宋体" w:hAnsi="宋体"/>
                <w:sz w:val="24"/>
                <w:szCs w:val="24"/>
              </w:rPr>
              <w:t>分开密封包装，否则如开标时发生报价泄露的，由投标人自行承担所有责任，采购组织机构概不负责。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09" w:type="dxa"/>
            <w:vAlign w:val="center"/>
          </w:tcPr>
          <w:p>
            <w:pPr>
              <w:pStyle w:val="2"/>
              <w:ind w:firstLine="0"/>
              <w:jc w:val="center"/>
              <w:rPr>
                <w:rFonts w:ascii="宋体" w:eastAsia="宋体"/>
                <w:sz w:val="24"/>
                <w:szCs w:val="24"/>
              </w:rPr>
            </w:pPr>
            <w:r>
              <w:rPr>
                <w:rFonts w:ascii="宋体" w:hAnsi="宋体"/>
                <w:sz w:val="24"/>
                <w:szCs w:val="24"/>
              </w:rPr>
              <w:t>13</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《招标文件》</w:t>
            </w:r>
          </w:p>
          <w:p>
            <w:pPr>
              <w:pStyle w:val="2"/>
              <w:ind w:firstLine="0"/>
              <w:jc w:val="center"/>
              <w:rPr>
                <w:rFonts w:ascii="宋体" w:eastAsia="宋体"/>
                <w:sz w:val="24"/>
                <w:szCs w:val="24"/>
              </w:rPr>
            </w:pPr>
            <w:r>
              <w:rPr>
                <w:rFonts w:hint="eastAsia" w:ascii="宋体" w:hAnsi="宋体"/>
                <w:sz w:val="24"/>
                <w:szCs w:val="24"/>
              </w:rPr>
              <w:t>询疑截止时间</w:t>
            </w:r>
          </w:p>
        </w:tc>
        <w:tc>
          <w:tcPr>
            <w:tcW w:w="7229" w:type="dxa"/>
            <w:vAlign w:val="center"/>
          </w:tcPr>
          <w:p>
            <w:pPr>
              <w:pStyle w:val="2"/>
              <w:ind w:firstLine="0"/>
              <w:rPr>
                <w:rFonts w:ascii="宋体" w:eastAsia="宋体"/>
                <w:sz w:val="24"/>
                <w:szCs w:val="24"/>
              </w:rPr>
            </w:pPr>
            <w:r>
              <w:rPr>
                <w:rFonts w:hint="eastAsia" w:ascii="宋体" w:hAnsi="宋体"/>
                <w:sz w:val="24"/>
                <w:szCs w:val="24"/>
              </w:rPr>
              <w:t>供应商如对公开招标采购文件的描述或规定有疑问的，或认为公开招标采购文件存在前后不一致或矛盾的，应在</w:t>
            </w:r>
            <w:r>
              <w:rPr>
                <w:rFonts w:ascii="宋体" w:hAnsi="宋体"/>
                <w:sz w:val="24"/>
                <w:szCs w:val="24"/>
              </w:rPr>
              <w:t>2018</w:t>
            </w:r>
            <w:r>
              <w:rPr>
                <w:rFonts w:hint="eastAsia" w:ascii="宋体" w:hAnsi="宋体"/>
                <w:sz w:val="24"/>
                <w:szCs w:val="24"/>
              </w:rPr>
              <w:t>年</w:t>
            </w:r>
            <w:r>
              <w:rPr>
                <w:rFonts w:ascii="宋体" w:hAnsi="宋体"/>
                <w:sz w:val="24"/>
                <w:szCs w:val="24"/>
              </w:rPr>
              <w:t>9</w:t>
            </w:r>
            <w:r>
              <w:rPr>
                <w:rFonts w:hint="eastAsia" w:ascii="宋体" w:hAnsi="宋体"/>
                <w:sz w:val="24"/>
                <w:szCs w:val="24"/>
              </w:rPr>
              <w:t>月</w:t>
            </w:r>
            <w:r>
              <w:rPr>
                <w:rFonts w:ascii="宋体" w:hAnsi="宋体"/>
                <w:sz w:val="24"/>
                <w:szCs w:val="24"/>
              </w:rPr>
              <w:t>20</w:t>
            </w:r>
            <w:r>
              <w:rPr>
                <w:rFonts w:hint="eastAsia" w:ascii="宋体" w:hAnsi="宋体"/>
                <w:sz w:val="24"/>
                <w:szCs w:val="24"/>
              </w:rPr>
              <w:t>日</w:t>
            </w:r>
            <w:r>
              <w:rPr>
                <w:rFonts w:ascii="宋体" w:hAnsi="宋体"/>
                <w:sz w:val="24"/>
                <w:szCs w:val="24"/>
              </w:rPr>
              <w:t>16</w:t>
            </w:r>
            <w:r>
              <w:rPr>
                <w:rFonts w:hint="eastAsia" w:ascii="宋体" w:hAnsi="宋体"/>
                <w:sz w:val="24"/>
                <w:szCs w:val="24"/>
              </w:rPr>
              <w:t>：</w:t>
            </w:r>
            <w:r>
              <w:rPr>
                <w:rFonts w:ascii="宋体" w:hAnsi="宋体"/>
                <w:sz w:val="24"/>
                <w:szCs w:val="24"/>
              </w:rPr>
              <w:t>3</w:t>
            </w:r>
            <w:r>
              <w:rPr>
                <w:rFonts w:ascii="宋体" w:eastAsia="宋体"/>
                <w:sz w:val="24"/>
                <w:szCs w:val="24"/>
              </w:rPr>
              <w:t>0</w:t>
            </w:r>
            <w:r>
              <w:rPr>
                <w:rFonts w:hint="eastAsia" w:ascii="宋体" w:hAnsi="宋体"/>
                <w:sz w:val="24"/>
                <w:szCs w:val="24"/>
              </w:rPr>
              <w:t>前以书面形式向采购组织机构递交《疑问函》，采购组织机构将在接到供应商《疑问函》后三个工作日内给予答复。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2"/>
              <w:ind w:firstLine="0"/>
              <w:jc w:val="center"/>
              <w:rPr>
                <w:rFonts w:ascii="宋体" w:eastAsia="宋体"/>
                <w:sz w:val="24"/>
                <w:szCs w:val="24"/>
              </w:rPr>
            </w:pPr>
            <w:r>
              <w:rPr>
                <w:rFonts w:ascii="宋体" w:hAnsi="宋体"/>
                <w:sz w:val="24"/>
                <w:szCs w:val="24"/>
              </w:rPr>
              <w:t>14</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投标截止时间</w:t>
            </w:r>
          </w:p>
        </w:tc>
        <w:tc>
          <w:tcPr>
            <w:tcW w:w="7229" w:type="dxa"/>
            <w:vAlign w:val="center"/>
          </w:tcPr>
          <w:p>
            <w:pPr>
              <w:pStyle w:val="2"/>
              <w:ind w:firstLine="0"/>
              <w:rPr>
                <w:rFonts w:ascii="宋体" w:eastAsia="宋体"/>
                <w:sz w:val="24"/>
                <w:szCs w:val="24"/>
              </w:rPr>
            </w:pPr>
            <w:r>
              <w:rPr>
                <w:rFonts w:hint="eastAsia" w:ascii="宋体" w:hAnsi="宋体"/>
                <w:sz w:val="24"/>
                <w:szCs w:val="24"/>
              </w:rPr>
              <w:t>按</w:t>
            </w:r>
            <w:r>
              <w:rPr>
                <w:rFonts w:hint="eastAsia" w:ascii="宋体" w:eastAsia="宋体"/>
                <w:sz w:val="24"/>
                <w:szCs w:val="24"/>
              </w:rPr>
              <w:t>“</w:t>
            </w:r>
            <w:r>
              <w:rPr>
                <w:rFonts w:hint="eastAsia" w:ascii="宋体" w:hAnsi="宋体"/>
                <w:sz w:val="24"/>
                <w:szCs w:val="24"/>
              </w:rPr>
              <w:t>公开招标采购公告</w:t>
            </w:r>
            <w:r>
              <w:rPr>
                <w:rFonts w:hint="eastAsia" w:ascii="宋体" w:eastAsia="宋体"/>
                <w:sz w:val="24"/>
                <w:szCs w:val="24"/>
              </w:rPr>
              <w:t>”</w:t>
            </w:r>
            <w:r>
              <w:rPr>
                <w:rFonts w:hint="eastAsia" w:ascii="宋体" w:hAnsi="宋体"/>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pStyle w:val="2"/>
              <w:ind w:firstLine="0"/>
              <w:jc w:val="center"/>
              <w:rPr>
                <w:rFonts w:ascii="宋体" w:eastAsia="宋体"/>
                <w:sz w:val="24"/>
                <w:szCs w:val="24"/>
              </w:rPr>
            </w:pPr>
            <w:r>
              <w:rPr>
                <w:rFonts w:ascii="宋体" w:hAnsi="宋体"/>
                <w:sz w:val="24"/>
                <w:szCs w:val="24"/>
              </w:rPr>
              <w:t>15</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投标文件</w:t>
            </w:r>
          </w:p>
          <w:p>
            <w:pPr>
              <w:pStyle w:val="2"/>
              <w:ind w:firstLine="0"/>
              <w:jc w:val="center"/>
              <w:rPr>
                <w:rFonts w:ascii="宋体" w:eastAsia="宋体"/>
                <w:sz w:val="24"/>
                <w:szCs w:val="24"/>
              </w:rPr>
            </w:pPr>
            <w:r>
              <w:rPr>
                <w:rFonts w:hint="eastAsia" w:ascii="宋体" w:hAnsi="宋体"/>
                <w:sz w:val="24"/>
                <w:szCs w:val="24"/>
              </w:rPr>
              <w:t>递交地点</w:t>
            </w:r>
          </w:p>
        </w:tc>
        <w:tc>
          <w:tcPr>
            <w:tcW w:w="7229" w:type="dxa"/>
            <w:vAlign w:val="center"/>
          </w:tcPr>
          <w:p>
            <w:pPr>
              <w:pStyle w:val="2"/>
              <w:ind w:firstLine="0"/>
              <w:rPr>
                <w:rFonts w:ascii="宋体" w:eastAsia="宋体"/>
                <w:sz w:val="24"/>
                <w:szCs w:val="24"/>
              </w:rPr>
            </w:pPr>
            <w:r>
              <w:rPr>
                <w:rFonts w:hint="eastAsia" w:ascii="宋体" w:hAnsi="宋体"/>
                <w:sz w:val="24"/>
                <w:szCs w:val="24"/>
              </w:rPr>
              <w:t>按</w:t>
            </w:r>
            <w:r>
              <w:rPr>
                <w:rFonts w:hint="eastAsia" w:ascii="宋体" w:eastAsia="宋体"/>
                <w:sz w:val="24"/>
                <w:szCs w:val="24"/>
              </w:rPr>
              <w:t>“</w:t>
            </w:r>
            <w:r>
              <w:rPr>
                <w:rFonts w:hint="eastAsia" w:ascii="宋体" w:hAnsi="宋体"/>
                <w:sz w:val="24"/>
                <w:szCs w:val="24"/>
              </w:rPr>
              <w:t>公开招标采购公告</w:t>
            </w:r>
            <w:r>
              <w:rPr>
                <w:rFonts w:hint="eastAsia" w:ascii="宋体" w:eastAsia="宋体"/>
                <w:sz w:val="24"/>
                <w:szCs w:val="24"/>
              </w:rPr>
              <w:t>”</w:t>
            </w:r>
            <w:r>
              <w:rPr>
                <w:rFonts w:hint="eastAsia" w:ascii="宋体" w:hAnsi="宋体"/>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pStyle w:val="2"/>
              <w:ind w:firstLine="0"/>
              <w:jc w:val="center"/>
              <w:rPr>
                <w:rFonts w:ascii="宋体" w:eastAsia="宋体"/>
                <w:sz w:val="24"/>
                <w:szCs w:val="24"/>
              </w:rPr>
            </w:pPr>
            <w:r>
              <w:rPr>
                <w:rFonts w:ascii="宋体" w:hAnsi="宋体"/>
                <w:sz w:val="24"/>
                <w:szCs w:val="24"/>
              </w:rPr>
              <w:t>16</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开标时间及地点</w:t>
            </w:r>
          </w:p>
        </w:tc>
        <w:tc>
          <w:tcPr>
            <w:tcW w:w="7229" w:type="dxa"/>
            <w:vAlign w:val="center"/>
          </w:tcPr>
          <w:p>
            <w:pPr>
              <w:pStyle w:val="2"/>
              <w:ind w:firstLine="0"/>
              <w:rPr>
                <w:rFonts w:ascii="宋体" w:eastAsia="宋体"/>
                <w:sz w:val="24"/>
                <w:szCs w:val="24"/>
              </w:rPr>
            </w:pPr>
            <w:r>
              <w:rPr>
                <w:rFonts w:hint="eastAsia" w:ascii="宋体" w:hAnsi="宋体"/>
                <w:sz w:val="24"/>
                <w:szCs w:val="24"/>
              </w:rPr>
              <w:t>按</w:t>
            </w:r>
            <w:r>
              <w:rPr>
                <w:rFonts w:hint="eastAsia" w:ascii="宋体" w:eastAsia="宋体"/>
                <w:sz w:val="24"/>
                <w:szCs w:val="24"/>
              </w:rPr>
              <w:t>“</w:t>
            </w:r>
            <w:r>
              <w:rPr>
                <w:rFonts w:hint="eastAsia" w:ascii="宋体" w:hAnsi="宋体"/>
                <w:sz w:val="24"/>
                <w:szCs w:val="24"/>
              </w:rPr>
              <w:t>公开招标采购公告</w:t>
            </w:r>
            <w:r>
              <w:rPr>
                <w:rFonts w:hint="eastAsia" w:ascii="宋体" w:eastAsia="宋体"/>
                <w:sz w:val="24"/>
                <w:szCs w:val="24"/>
              </w:rPr>
              <w:t>”</w:t>
            </w:r>
            <w:r>
              <w:rPr>
                <w:rFonts w:hint="eastAsia" w:ascii="宋体" w:hAnsi="宋体"/>
                <w:sz w:val="24"/>
                <w:szCs w:val="24"/>
              </w:rPr>
              <w:t>规定，本项目采用先</w:t>
            </w:r>
            <w:r>
              <w:rPr>
                <w:rFonts w:hint="eastAsia" w:ascii="宋体" w:eastAsia="宋体"/>
                <w:sz w:val="24"/>
                <w:szCs w:val="24"/>
              </w:rPr>
              <w:t>“</w:t>
            </w:r>
            <w:r>
              <w:rPr>
                <w:rFonts w:hint="eastAsia" w:ascii="宋体" w:hAnsi="宋体"/>
                <w:sz w:val="24"/>
                <w:szCs w:val="24"/>
              </w:rPr>
              <w:t>技术资信</w:t>
            </w:r>
            <w:r>
              <w:rPr>
                <w:rFonts w:hint="eastAsia" w:ascii="宋体" w:eastAsia="宋体"/>
                <w:sz w:val="24"/>
                <w:szCs w:val="24"/>
              </w:rPr>
              <w:t>”</w:t>
            </w:r>
            <w:r>
              <w:rPr>
                <w:rFonts w:hint="eastAsia" w:ascii="宋体" w:hAnsi="宋体"/>
                <w:sz w:val="24"/>
                <w:szCs w:val="24"/>
              </w:rPr>
              <w:t>后</w:t>
            </w:r>
            <w:r>
              <w:rPr>
                <w:rFonts w:hint="eastAsia" w:ascii="宋体" w:eastAsia="宋体"/>
                <w:sz w:val="24"/>
                <w:szCs w:val="24"/>
              </w:rPr>
              <w:t>“</w:t>
            </w:r>
            <w:r>
              <w:rPr>
                <w:rFonts w:hint="eastAsia" w:ascii="宋体" w:hAnsi="宋体"/>
                <w:sz w:val="24"/>
                <w:szCs w:val="24"/>
              </w:rPr>
              <w:t>报价</w:t>
            </w:r>
            <w:r>
              <w:rPr>
                <w:rFonts w:hint="eastAsia" w:ascii="宋体" w:eastAsia="宋体"/>
                <w:sz w:val="24"/>
                <w:szCs w:val="24"/>
              </w:rPr>
              <w:t>”</w:t>
            </w:r>
            <w:r>
              <w:rPr>
                <w:rFonts w:hint="eastAsia" w:ascii="宋体" w:hAnsi="宋体"/>
                <w:sz w:val="24"/>
                <w:szCs w:val="24"/>
              </w:rPr>
              <w:t>的两个阶段开标。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2"/>
              <w:ind w:firstLine="0"/>
              <w:jc w:val="center"/>
              <w:rPr>
                <w:rFonts w:ascii="宋体" w:eastAsia="宋体"/>
                <w:sz w:val="24"/>
                <w:szCs w:val="24"/>
              </w:rPr>
            </w:pPr>
            <w:r>
              <w:rPr>
                <w:rFonts w:ascii="宋体" w:hAnsi="宋体"/>
                <w:sz w:val="24"/>
                <w:szCs w:val="24"/>
              </w:rPr>
              <w:t>17</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评审办法</w:t>
            </w:r>
          </w:p>
        </w:tc>
        <w:tc>
          <w:tcPr>
            <w:tcW w:w="7229" w:type="dxa"/>
            <w:vAlign w:val="center"/>
          </w:tcPr>
          <w:p>
            <w:pPr>
              <w:pStyle w:val="2"/>
              <w:ind w:firstLine="0"/>
              <w:rPr>
                <w:rFonts w:ascii="宋体" w:eastAsia="宋体"/>
                <w:sz w:val="24"/>
                <w:szCs w:val="24"/>
              </w:rPr>
            </w:pPr>
            <w:r>
              <w:rPr>
                <w:rFonts w:hint="eastAsia" w:ascii="宋体" w:hAnsi="宋体"/>
                <w:sz w:val="24"/>
                <w:szCs w:val="24"/>
              </w:rPr>
              <w:t>综合评分法，详见第四部分。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9" w:type="dxa"/>
            <w:vAlign w:val="center"/>
          </w:tcPr>
          <w:p>
            <w:pPr>
              <w:pStyle w:val="2"/>
              <w:ind w:firstLine="0"/>
              <w:jc w:val="center"/>
              <w:rPr>
                <w:rFonts w:ascii="宋体" w:eastAsia="宋体"/>
                <w:sz w:val="24"/>
                <w:szCs w:val="24"/>
              </w:rPr>
            </w:pPr>
            <w:r>
              <w:rPr>
                <w:rFonts w:ascii="宋体" w:hAnsi="宋体"/>
                <w:sz w:val="24"/>
                <w:szCs w:val="24"/>
              </w:rPr>
              <w:t>18</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结果公告及《中标通知书》签发</w:t>
            </w:r>
          </w:p>
        </w:tc>
        <w:tc>
          <w:tcPr>
            <w:tcW w:w="7229" w:type="dxa"/>
            <w:vAlign w:val="center"/>
          </w:tcPr>
          <w:p>
            <w:pPr>
              <w:pStyle w:val="2"/>
              <w:ind w:firstLine="0"/>
              <w:rPr>
                <w:rFonts w:ascii="宋体" w:eastAsia="宋体"/>
                <w:sz w:val="24"/>
                <w:szCs w:val="24"/>
              </w:rPr>
            </w:pPr>
            <w:r>
              <w:rPr>
                <w:rFonts w:hint="eastAsia" w:ascii="宋体" w:hAnsi="宋体"/>
                <w:sz w:val="24"/>
                <w:szCs w:val="24"/>
              </w:rPr>
              <w:t>采购结果经采购人确认后</w:t>
            </w:r>
            <w:r>
              <w:rPr>
                <w:rFonts w:ascii="宋体" w:hAnsi="宋体"/>
                <w:sz w:val="24"/>
                <w:szCs w:val="24"/>
              </w:rPr>
              <w:t>2</w:t>
            </w:r>
            <w:r>
              <w:rPr>
                <w:rFonts w:hint="eastAsia" w:ascii="宋体" w:hAnsi="宋体"/>
                <w:sz w:val="24"/>
                <w:szCs w:val="24"/>
              </w:rPr>
              <w:t>个工作日内，采购组织机构将在发布采购公告的网站上发布采购结果公告，公示无异议向中标（成交）单位签发中标（成交）通知书。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9" w:type="dxa"/>
            <w:vAlign w:val="center"/>
          </w:tcPr>
          <w:p>
            <w:pPr>
              <w:pStyle w:val="2"/>
              <w:ind w:firstLine="0"/>
              <w:jc w:val="center"/>
              <w:rPr>
                <w:rFonts w:ascii="宋体" w:eastAsia="宋体"/>
                <w:sz w:val="24"/>
                <w:szCs w:val="24"/>
              </w:rPr>
            </w:pPr>
            <w:r>
              <w:rPr>
                <w:rFonts w:ascii="宋体" w:hAnsi="宋体"/>
                <w:sz w:val="24"/>
                <w:szCs w:val="24"/>
              </w:rPr>
              <w:t>19</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投标保证金退还</w:t>
            </w:r>
          </w:p>
        </w:tc>
        <w:tc>
          <w:tcPr>
            <w:tcW w:w="7229" w:type="dxa"/>
            <w:vAlign w:val="center"/>
          </w:tcPr>
          <w:p>
            <w:pPr>
              <w:pStyle w:val="2"/>
              <w:ind w:firstLine="0"/>
              <w:rPr>
                <w:rFonts w:ascii="宋体" w:eastAsia="宋体"/>
                <w:sz w:val="24"/>
                <w:szCs w:val="24"/>
              </w:rPr>
            </w:pPr>
            <w:r>
              <w:rPr>
                <w:rFonts w:hint="eastAsia" w:ascii="宋体" w:hAnsi="宋体"/>
                <w:sz w:val="24"/>
                <w:szCs w:val="24"/>
              </w:rPr>
              <w:t>未中标的投标人的投标保证金，在发出中标通知书后</w:t>
            </w:r>
            <w:r>
              <w:rPr>
                <w:rFonts w:ascii="宋体" w:hAnsi="宋体"/>
                <w:sz w:val="24"/>
                <w:szCs w:val="24"/>
              </w:rPr>
              <w:t>5</w:t>
            </w:r>
            <w:r>
              <w:rPr>
                <w:rFonts w:hint="eastAsia" w:ascii="宋体" w:hAnsi="宋体"/>
                <w:sz w:val="24"/>
                <w:szCs w:val="24"/>
              </w:rPr>
              <w:t>个工作日内无息退还。中标人的投标保证金在缴纳了履约保证金并完成合同签订后</w:t>
            </w:r>
            <w:r>
              <w:rPr>
                <w:rFonts w:ascii="宋体" w:hAnsi="宋体"/>
                <w:sz w:val="24"/>
                <w:szCs w:val="24"/>
              </w:rPr>
              <w:t>5</w:t>
            </w:r>
            <w:r>
              <w:rPr>
                <w:rFonts w:hint="eastAsia" w:ascii="宋体" w:hAnsi="宋体"/>
                <w:sz w:val="24"/>
                <w:szCs w:val="24"/>
              </w:rPr>
              <w:t>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2"/>
              <w:ind w:firstLine="0"/>
              <w:jc w:val="center"/>
              <w:rPr>
                <w:rFonts w:ascii="宋体" w:eastAsia="宋体"/>
                <w:sz w:val="24"/>
                <w:szCs w:val="24"/>
              </w:rPr>
            </w:pPr>
            <w:r>
              <w:rPr>
                <w:rFonts w:ascii="宋体" w:hAnsi="宋体"/>
                <w:sz w:val="24"/>
                <w:szCs w:val="24"/>
              </w:rPr>
              <w:t>20</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履约保证金</w:t>
            </w:r>
          </w:p>
        </w:tc>
        <w:tc>
          <w:tcPr>
            <w:tcW w:w="7229" w:type="dxa"/>
            <w:vAlign w:val="center"/>
          </w:tcPr>
          <w:p>
            <w:pPr>
              <w:pStyle w:val="2"/>
              <w:ind w:firstLine="0"/>
              <w:rPr>
                <w:rFonts w:ascii="宋体" w:hAnsi="宋体"/>
                <w:sz w:val="24"/>
                <w:szCs w:val="24"/>
              </w:rPr>
            </w:pPr>
            <w:r>
              <w:rPr>
                <w:rFonts w:hint="eastAsia" w:ascii="宋体" w:hAnsi="宋体"/>
                <w:sz w:val="24"/>
                <w:szCs w:val="24"/>
              </w:rPr>
              <w:t>履约保证金金额：合同金额的</w:t>
            </w:r>
            <w:r>
              <w:rPr>
                <w:rFonts w:ascii="宋体" w:hAnsi="宋体"/>
                <w:sz w:val="24"/>
                <w:szCs w:val="24"/>
              </w:rPr>
              <w:t>5%</w:t>
            </w:r>
          </w:p>
          <w:p>
            <w:pPr>
              <w:pStyle w:val="2"/>
              <w:ind w:firstLine="0"/>
              <w:rPr>
                <w:rFonts w:ascii="宋体" w:eastAsia="宋体"/>
                <w:sz w:val="24"/>
                <w:szCs w:val="24"/>
              </w:rPr>
            </w:pPr>
            <w:r>
              <w:rPr>
                <w:rFonts w:hint="eastAsia" w:ascii="宋体" w:hAnsi="宋体"/>
                <w:sz w:val="24"/>
                <w:szCs w:val="24"/>
              </w:rPr>
              <w:t>履约保证金缴纳形式：支票</w:t>
            </w:r>
            <w:r>
              <w:rPr>
                <w:rFonts w:ascii="宋体" w:hAnsi="宋体"/>
                <w:sz w:val="24"/>
                <w:szCs w:val="24"/>
              </w:rPr>
              <w:t>/</w:t>
            </w:r>
            <w:r>
              <w:rPr>
                <w:rFonts w:hint="eastAsia" w:ascii="宋体" w:hAnsi="宋体"/>
                <w:sz w:val="24"/>
                <w:szCs w:val="24"/>
              </w:rPr>
              <w:t>汇票</w:t>
            </w:r>
            <w:r>
              <w:rPr>
                <w:rFonts w:ascii="宋体" w:hAnsi="宋体"/>
                <w:sz w:val="24"/>
                <w:szCs w:val="24"/>
              </w:rPr>
              <w:t>/</w:t>
            </w:r>
            <w:r>
              <w:rPr>
                <w:rFonts w:hint="eastAsia" w:ascii="宋体" w:hAnsi="宋体"/>
                <w:sz w:val="24"/>
                <w:szCs w:val="24"/>
              </w:rPr>
              <w:t>电汇（不接受任何形式的保函）</w:t>
            </w:r>
          </w:p>
          <w:p>
            <w:pPr>
              <w:pStyle w:val="2"/>
              <w:ind w:firstLine="0"/>
              <w:rPr>
                <w:rFonts w:ascii="宋体" w:eastAsia="宋体"/>
                <w:sz w:val="24"/>
                <w:szCs w:val="24"/>
              </w:rPr>
            </w:pPr>
            <w:r>
              <w:rPr>
                <w:rFonts w:hint="eastAsia" w:ascii="宋体" w:hAnsi="宋体"/>
                <w:sz w:val="24"/>
                <w:szCs w:val="24"/>
              </w:rPr>
              <w:t>履约保证金缴纳时间：合同签订前</w:t>
            </w:r>
          </w:p>
          <w:p>
            <w:pPr>
              <w:pStyle w:val="2"/>
              <w:ind w:firstLine="0"/>
              <w:rPr>
                <w:rFonts w:ascii="宋体" w:eastAsia="宋体"/>
                <w:sz w:val="24"/>
                <w:szCs w:val="24"/>
              </w:rPr>
            </w:pPr>
            <w:r>
              <w:rPr>
                <w:rFonts w:hint="eastAsia" w:ascii="宋体" w:hAnsi="宋体"/>
                <w:sz w:val="24"/>
                <w:szCs w:val="24"/>
              </w:rPr>
              <w:t>履约保证金接收人：采购人</w:t>
            </w:r>
          </w:p>
          <w:p>
            <w:pPr>
              <w:pStyle w:val="2"/>
              <w:ind w:firstLine="0"/>
              <w:rPr>
                <w:rFonts w:ascii="宋体" w:eastAsia="宋体"/>
                <w:sz w:val="24"/>
                <w:szCs w:val="24"/>
              </w:rPr>
            </w:pPr>
            <w:r>
              <w:rPr>
                <w:rFonts w:hint="eastAsia" w:ascii="宋体" w:hAnsi="宋体"/>
                <w:sz w:val="24"/>
                <w:szCs w:val="24"/>
              </w:rPr>
              <w:t>履约保证金有效期限：合同履行完毕前有效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2"/>
              <w:ind w:firstLine="0"/>
              <w:jc w:val="center"/>
              <w:rPr>
                <w:rFonts w:ascii="宋体" w:eastAsia="宋体"/>
                <w:sz w:val="24"/>
                <w:szCs w:val="24"/>
              </w:rPr>
            </w:pPr>
            <w:r>
              <w:rPr>
                <w:rFonts w:ascii="宋体" w:hAnsi="宋体"/>
                <w:sz w:val="24"/>
                <w:szCs w:val="24"/>
              </w:rPr>
              <w:t>21</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合同签订</w:t>
            </w:r>
          </w:p>
        </w:tc>
        <w:tc>
          <w:tcPr>
            <w:tcW w:w="7229" w:type="dxa"/>
            <w:vAlign w:val="center"/>
          </w:tcPr>
          <w:p>
            <w:pPr>
              <w:pStyle w:val="2"/>
              <w:ind w:firstLine="0"/>
              <w:rPr>
                <w:rFonts w:ascii="宋体" w:eastAsia="宋体"/>
                <w:sz w:val="24"/>
                <w:szCs w:val="24"/>
              </w:rPr>
            </w:pPr>
            <w:r>
              <w:rPr>
                <w:rFonts w:hint="eastAsia" w:ascii="宋体" w:hAnsi="宋体"/>
                <w:sz w:val="24"/>
                <w:szCs w:val="24"/>
              </w:rPr>
              <w:t>中标通知书发出后，中标人持中标通知书与采购人签订合同。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2"/>
              <w:ind w:firstLine="0"/>
              <w:jc w:val="center"/>
              <w:rPr>
                <w:rFonts w:ascii="宋体" w:eastAsia="宋体"/>
                <w:sz w:val="24"/>
                <w:szCs w:val="24"/>
              </w:rPr>
            </w:pPr>
            <w:r>
              <w:rPr>
                <w:rFonts w:ascii="宋体" w:hAnsi="宋体"/>
                <w:sz w:val="24"/>
                <w:szCs w:val="24"/>
              </w:rPr>
              <w:t>23</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投标文件有效期</w:t>
            </w:r>
          </w:p>
        </w:tc>
        <w:tc>
          <w:tcPr>
            <w:tcW w:w="7229" w:type="dxa"/>
            <w:vAlign w:val="center"/>
          </w:tcPr>
          <w:p>
            <w:pPr>
              <w:pStyle w:val="2"/>
              <w:ind w:firstLine="0"/>
              <w:rPr>
                <w:rFonts w:ascii="宋体" w:eastAsia="宋体"/>
                <w:sz w:val="24"/>
                <w:szCs w:val="24"/>
              </w:rPr>
            </w:pPr>
            <w:r>
              <w:rPr>
                <w:rFonts w:ascii="宋体" w:hAnsi="宋体"/>
                <w:sz w:val="24"/>
                <w:szCs w:val="24"/>
              </w:rPr>
              <w:t>60</w:t>
            </w:r>
            <w:r>
              <w:rPr>
                <w:rFonts w:hint="eastAsia" w:ascii="宋体" w:hAnsi="宋体"/>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2"/>
              <w:ind w:firstLine="0"/>
              <w:jc w:val="center"/>
              <w:rPr>
                <w:rFonts w:ascii="宋体" w:eastAsia="宋体"/>
                <w:sz w:val="24"/>
                <w:szCs w:val="24"/>
              </w:rPr>
            </w:pPr>
            <w:r>
              <w:rPr>
                <w:rFonts w:ascii="宋体" w:hAnsi="宋体"/>
                <w:sz w:val="24"/>
                <w:szCs w:val="24"/>
              </w:rPr>
              <w:t>24</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供应商代表出席开标大会注意事项</w:t>
            </w:r>
          </w:p>
        </w:tc>
        <w:tc>
          <w:tcPr>
            <w:tcW w:w="7229" w:type="dxa"/>
            <w:vAlign w:val="center"/>
          </w:tcPr>
          <w:p>
            <w:pPr>
              <w:pStyle w:val="2"/>
              <w:ind w:firstLine="0"/>
              <w:rPr>
                <w:rFonts w:ascii="宋体" w:eastAsia="宋体"/>
                <w:sz w:val="24"/>
                <w:szCs w:val="24"/>
              </w:rPr>
            </w:pPr>
            <w:r>
              <w:rPr>
                <w:rFonts w:hint="eastAsia" w:ascii="宋体" w:hAnsi="宋体"/>
                <w:sz w:val="24"/>
                <w:szCs w:val="24"/>
              </w:rPr>
              <w:t>投标供应商应派其法定代表人或法定代表人授权代表参加开标大会，否则事后不得对采购相关人员、开标过程和开标结果提出异议。</w:t>
            </w:r>
          </w:p>
          <w:p>
            <w:pPr>
              <w:pStyle w:val="2"/>
              <w:ind w:firstLine="0"/>
              <w:rPr>
                <w:rFonts w:ascii="宋体" w:eastAsia="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）法定代表人参加开标大会的同时出示：</w:t>
            </w:r>
            <w:r>
              <w:rPr>
                <w:rFonts w:ascii="宋体" w:hAnsi="宋体"/>
                <w:sz w:val="24"/>
                <w:szCs w:val="24"/>
              </w:rPr>
              <w:t>a.</w:t>
            </w:r>
            <w:r>
              <w:rPr>
                <w:rFonts w:hint="eastAsia" w:ascii="宋体" w:hAnsi="宋体"/>
                <w:sz w:val="24"/>
                <w:szCs w:val="24"/>
              </w:rPr>
              <w:t>企业营业执照复印件加盖公章（封装在投标文件内的也有效）；</w:t>
            </w:r>
            <w:r>
              <w:rPr>
                <w:rFonts w:ascii="宋体" w:hAnsi="宋体"/>
                <w:sz w:val="24"/>
                <w:szCs w:val="24"/>
              </w:rPr>
              <w:t>b.</w:t>
            </w:r>
            <w:r>
              <w:rPr>
                <w:rFonts w:hint="eastAsia" w:ascii="宋体" w:hAnsi="宋体"/>
                <w:sz w:val="24"/>
                <w:szCs w:val="24"/>
              </w:rPr>
              <w:t>个人有效身份证明原件（居民身份证或护照或驾驶证）。</w:t>
            </w:r>
          </w:p>
          <w:p>
            <w:pPr>
              <w:pStyle w:val="2"/>
              <w:ind w:firstLine="0"/>
              <w:rPr>
                <w:rFonts w:ascii="宋体" w:eastAsia="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）法定代表人授权委托书载明的授权代表参加开标大会的同时出示：</w:t>
            </w:r>
            <w:r>
              <w:rPr>
                <w:rFonts w:ascii="宋体" w:hAnsi="宋体"/>
                <w:sz w:val="24"/>
                <w:szCs w:val="24"/>
              </w:rPr>
              <w:t>a.</w:t>
            </w:r>
            <w:r>
              <w:rPr>
                <w:rFonts w:hint="eastAsia" w:ascii="宋体" w:hAnsi="宋体"/>
                <w:sz w:val="24"/>
                <w:szCs w:val="24"/>
              </w:rPr>
              <w:t>企业营业执照复印件加盖公章（封装在投标文件内的也有效）；</w:t>
            </w:r>
            <w:r>
              <w:rPr>
                <w:rFonts w:ascii="宋体" w:hAnsi="宋体"/>
                <w:sz w:val="24"/>
                <w:szCs w:val="24"/>
              </w:rPr>
              <w:t>b.</w:t>
            </w:r>
            <w:r>
              <w:rPr>
                <w:rFonts w:hint="eastAsia" w:ascii="宋体" w:hAnsi="宋体"/>
                <w:sz w:val="24"/>
                <w:szCs w:val="24"/>
              </w:rPr>
              <w:t>投标人法定代表人授权委托书原件；</w:t>
            </w:r>
            <w:r>
              <w:rPr>
                <w:rFonts w:ascii="宋体" w:hAnsi="宋体"/>
                <w:sz w:val="24"/>
                <w:szCs w:val="24"/>
              </w:rPr>
              <w:t>c.</w:t>
            </w:r>
            <w:r>
              <w:rPr>
                <w:rFonts w:hint="eastAsia" w:ascii="宋体" w:hAnsi="宋体"/>
                <w:sz w:val="24"/>
                <w:szCs w:val="24"/>
              </w:rPr>
              <w:t>个人有效身份证明原件（居民身份证或护照或驾驶证）。</w:t>
            </w:r>
          </w:p>
          <w:p>
            <w:pPr>
              <w:pStyle w:val="2"/>
              <w:ind w:firstLine="0"/>
              <w:rPr>
                <w:rFonts w:ascii="宋体" w:eastAsia="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）法定代表人或法定代表人授权委托书载明的授权代表参加开标大会时递交的</w:t>
            </w:r>
            <w:r>
              <w:rPr>
                <w:rFonts w:hint="eastAsia" w:ascii="宋体" w:eastAsia="宋体"/>
                <w:sz w:val="24"/>
                <w:szCs w:val="24"/>
              </w:rPr>
              <w:t>“</w:t>
            </w:r>
            <w:r>
              <w:rPr>
                <w:rFonts w:hint="eastAsia" w:ascii="宋体" w:hAnsi="宋体"/>
                <w:sz w:val="24"/>
                <w:szCs w:val="24"/>
              </w:rPr>
              <w:t>企业营业执照复印件加盖公章</w:t>
            </w:r>
            <w:r>
              <w:rPr>
                <w:rFonts w:hint="eastAsia" w:ascii="宋体" w:eastAsia="宋体"/>
                <w:sz w:val="24"/>
                <w:szCs w:val="24"/>
              </w:rPr>
              <w:t>”</w:t>
            </w:r>
            <w:r>
              <w:rPr>
                <w:rFonts w:hint="eastAsia" w:ascii="宋体" w:hAnsi="宋体"/>
                <w:sz w:val="24"/>
                <w:szCs w:val="24"/>
              </w:rPr>
              <w:t>或投标人</w:t>
            </w:r>
            <w:r>
              <w:rPr>
                <w:rFonts w:hint="eastAsia" w:ascii="宋体" w:eastAsia="宋体"/>
                <w:sz w:val="24"/>
                <w:szCs w:val="24"/>
              </w:rPr>
              <w:t>“</w:t>
            </w:r>
            <w:r>
              <w:rPr>
                <w:rFonts w:hint="eastAsia" w:ascii="宋体" w:hAnsi="宋体"/>
                <w:sz w:val="24"/>
                <w:szCs w:val="24"/>
              </w:rPr>
              <w:t>法定代表人授权委托书原件</w:t>
            </w:r>
            <w:r>
              <w:rPr>
                <w:rFonts w:hint="eastAsia" w:ascii="宋体" w:eastAsia="宋体"/>
                <w:sz w:val="24"/>
                <w:szCs w:val="24"/>
              </w:rPr>
              <w:t>”</w:t>
            </w:r>
            <w:r>
              <w:rPr>
                <w:rFonts w:hint="eastAsia" w:ascii="宋体" w:hAnsi="宋体"/>
                <w:sz w:val="24"/>
                <w:szCs w:val="24"/>
              </w:rPr>
              <w:t>密封在投标文件技术资信部分内的也有效。</w:t>
            </w:r>
          </w:p>
          <w:p>
            <w:pPr>
              <w:pStyle w:val="2"/>
              <w:ind w:firstLine="0"/>
              <w:rPr>
                <w:rFonts w:ascii="宋体" w:eastAsia="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）授权代表开标前出示的法定代表人授权委托书与投标文件中的法定代表人授权委托书不一致时，以投标文件中的为准。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9" w:type="dxa"/>
            <w:vAlign w:val="center"/>
          </w:tcPr>
          <w:p>
            <w:pPr>
              <w:pStyle w:val="2"/>
              <w:ind w:firstLine="0"/>
              <w:jc w:val="center"/>
              <w:rPr>
                <w:rFonts w:ascii="宋体" w:eastAsia="宋体"/>
                <w:sz w:val="24"/>
                <w:szCs w:val="24"/>
              </w:rPr>
            </w:pPr>
            <w:r>
              <w:rPr>
                <w:rFonts w:ascii="宋体" w:hAnsi="宋体"/>
                <w:sz w:val="24"/>
                <w:szCs w:val="24"/>
              </w:rPr>
              <w:t>25</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重要提醒</w:t>
            </w:r>
          </w:p>
        </w:tc>
        <w:tc>
          <w:tcPr>
            <w:tcW w:w="7229" w:type="dxa"/>
            <w:vAlign w:val="center"/>
          </w:tcPr>
          <w:p>
            <w:pPr>
              <w:pStyle w:val="2"/>
              <w:ind w:firstLine="0"/>
              <w:rPr>
                <w:rFonts w:ascii="宋体" w:eastAsia="宋体"/>
                <w:sz w:val="24"/>
                <w:szCs w:val="24"/>
              </w:rPr>
            </w:pPr>
            <w:r>
              <w:rPr>
                <w:rFonts w:hint="eastAsia" w:ascii="宋体" w:hAnsi="宋体"/>
                <w:sz w:val="24"/>
                <w:szCs w:val="24"/>
              </w:rPr>
              <w:t>投标人在编制投标文件时应作出符合客观事实的真实响应，任何的</w:t>
            </w:r>
            <w:r>
              <w:rPr>
                <w:rFonts w:hint="eastAsia" w:ascii="宋体" w:eastAsia="宋体"/>
                <w:sz w:val="24"/>
                <w:szCs w:val="24"/>
              </w:rPr>
              <w:t>“</w:t>
            </w:r>
            <w:r>
              <w:rPr>
                <w:rFonts w:hint="eastAsia" w:ascii="宋体" w:hAnsi="宋体"/>
                <w:sz w:val="24"/>
                <w:szCs w:val="24"/>
              </w:rPr>
              <w:t>虚假响应</w:t>
            </w:r>
            <w:r>
              <w:rPr>
                <w:rFonts w:hint="eastAsia" w:ascii="宋体" w:eastAsia="宋体"/>
                <w:sz w:val="24"/>
                <w:szCs w:val="24"/>
              </w:rPr>
              <w:t>”</w:t>
            </w:r>
            <w:r>
              <w:rPr>
                <w:rFonts w:hint="eastAsia" w:ascii="宋体" w:hAnsi="宋体"/>
                <w:sz w:val="24"/>
                <w:szCs w:val="24"/>
              </w:rPr>
              <w:t>或者</w:t>
            </w:r>
            <w:r>
              <w:rPr>
                <w:rFonts w:hint="eastAsia" w:ascii="宋体" w:eastAsia="宋体"/>
                <w:sz w:val="24"/>
                <w:szCs w:val="24"/>
              </w:rPr>
              <w:t>“</w:t>
            </w:r>
            <w:r>
              <w:rPr>
                <w:rFonts w:hint="eastAsia" w:ascii="宋体" w:hAnsi="宋体"/>
                <w:sz w:val="24"/>
                <w:szCs w:val="24"/>
              </w:rPr>
              <w:t>虚假应标</w:t>
            </w:r>
            <w:r>
              <w:rPr>
                <w:rFonts w:hint="eastAsia" w:ascii="宋体" w:eastAsia="宋体"/>
                <w:sz w:val="24"/>
                <w:szCs w:val="24"/>
              </w:rPr>
              <w:t>”</w:t>
            </w:r>
            <w:r>
              <w:rPr>
                <w:rFonts w:hint="eastAsia" w:ascii="宋体" w:hAnsi="宋体"/>
                <w:sz w:val="24"/>
                <w:szCs w:val="24"/>
              </w:rPr>
              <w:t>均将被视为</w:t>
            </w:r>
            <w:r>
              <w:rPr>
                <w:rFonts w:hint="eastAsia" w:ascii="宋体" w:eastAsia="宋体"/>
                <w:sz w:val="24"/>
                <w:szCs w:val="24"/>
              </w:rPr>
              <w:t>“</w:t>
            </w:r>
            <w:r>
              <w:rPr>
                <w:rFonts w:hint="eastAsia" w:ascii="宋体" w:hAnsi="宋体"/>
                <w:sz w:val="24"/>
                <w:szCs w:val="24"/>
              </w:rPr>
              <w:t>提供虚假材料</w:t>
            </w:r>
            <w:r>
              <w:rPr>
                <w:rFonts w:hint="eastAsia" w:ascii="宋体" w:eastAsia="宋体"/>
                <w:sz w:val="24"/>
                <w:szCs w:val="24"/>
              </w:rPr>
              <w:t>”</w:t>
            </w:r>
            <w:r>
              <w:rPr>
                <w:rFonts w:hint="eastAsia" w:ascii="宋体" w:hAnsi="宋体"/>
                <w:sz w:val="24"/>
                <w:szCs w:val="24"/>
              </w:rPr>
              <w:t>行为，并按照</w:t>
            </w:r>
            <w:r>
              <w:rPr>
                <w:rFonts w:hint="eastAsia" w:ascii="宋体" w:eastAsia="宋体"/>
                <w:sz w:val="24"/>
                <w:szCs w:val="24"/>
              </w:rPr>
              <w:t>“</w:t>
            </w:r>
            <w:r>
              <w:rPr>
                <w:rFonts w:hint="eastAsia" w:ascii="宋体" w:hAnsi="宋体"/>
                <w:sz w:val="24"/>
                <w:szCs w:val="24"/>
              </w:rPr>
              <w:t>提供虚假材料</w:t>
            </w:r>
            <w:r>
              <w:rPr>
                <w:rFonts w:hint="eastAsia" w:ascii="宋体" w:eastAsia="宋体"/>
                <w:sz w:val="24"/>
                <w:szCs w:val="24"/>
              </w:rPr>
              <w:t>”</w:t>
            </w:r>
            <w:r>
              <w:rPr>
                <w:rFonts w:hint="eastAsia" w:ascii="宋体" w:hAnsi="宋体"/>
                <w:sz w:val="24"/>
                <w:szCs w:val="24"/>
              </w:rPr>
              <w:t>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9" w:type="dxa"/>
            <w:vAlign w:val="center"/>
          </w:tcPr>
          <w:p>
            <w:pPr>
              <w:pStyle w:val="2"/>
              <w:ind w:firstLine="0"/>
              <w:jc w:val="center"/>
              <w:rPr>
                <w:rFonts w:ascii="宋体" w:eastAsia="宋体"/>
                <w:sz w:val="24"/>
                <w:szCs w:val="24"/>
              </w:rPr>
            </w:pPr>
            <w:r>
              <w:rPr>
                <w:rFonts w:ascii="宋体" w:hAnsi="宋体"/>
                <w:sz w:val="24"/>
                <w:szCs w:val="24"/>
              </w:rPr>
              <w:t>28</w:t>
            </w:r>
          </w:p>
        </w:tc>
        <w:tc>
          <w:tcPr>
            <w:tcW w:w="1985" w:type="dxa"/>
            <w:vAlign w:val="center"/>
          </w:tcPr>
          <w:p>
            <w:pPr>
              <w:pStyle w:val="2"/>
              <w:ind w:firstLine="0"/>
              <w:jc w:val="center"/>
              <w:rPr>
                <w:rFonts w:ascii="宋体" w:eastAsia="宋体"/>
                <w:sz w:val="24"/>
                <w:szCs w:val="24"/>
              </w:rPr>
            </w:pPr>
            <w:r>
              <w:rPr>
                <w:rFonts w:hint="eastAsia" w:ascii="宋体" w:hAnsi="宋体"/>
                <w:sz w:val="24"/>
                <w:szCs w:val="24"/>
              </w:rPr>
              <w:t>解释</w:t>
            </w:r>
          </w:p>
        </w:tc>
        <w:tc>
          <w:tcPr>
            <w:tcW w:w="7229" w:type="dxa"/>
            <w:vAlign w:val="center"/>
          </w:tcPr>
          <w:p>
            <w:pPr>
              <w:pStyle w:val="2"/>
              <w:ind w:firstLine="0"/>
              <w:rPr>
                <w:rFonts w:ascii="宋体" w:eastAsia="宋体"/>
                <w:sz w:val="24"/>
                <w:szCs w:val="24"/>
              </w:rPr>
            </w:pPr>
            <w:r>
              <w:rPr>
                <w:rFonts w:hint="eastAsia" w:ascii="宋体" w:hAnsi="宋体"/>
                <w:sz w:val="24"/>
                <w:szCs w:val="24"/>
              </w:rPr>
              <w:t>本《招标文件》电子稿与纸质版本具有同等效力，如发现不一致，请投标人在规定的提疑时间前向采购组织机构提出，招标文件的解释权属于采购人及采购组织机构所有。</w:t>
            </w:r>
          </w:p>
        </w:tc>
      </w:tr>
    </w:tbl>
    <w:p>
      <w:pPr>
        <w:pStyle w:val="5"/>
        <w:spacing w:before="156" w:line="380" w:lineRule="exact"/>
        <w:ind w:firstLine="480" w:firstLineChars="200"/>
        <w:rPr>
          <w:rFonts w:hAnsi="宋体"/>
        </w:rPr>
      </w:pPr>
    </w:p>
    <w:p>
      <w:pPr>
        <w:snapToGrid w:val="0"/>
        <w:spacing w:line="360" w:lineRule="auto"/>
        <w:ind w:firstLine="413" w:firstLineChars="196"/>
        <w:jc w:val="left"/>
        <w:rPr>
          <w:rFonts w:ascii="宋体"/>
          <w:b/>
          <w:szCs w:val="21"/>
        </w:rPr>
      </w:pPr>
      <w:r>
        <w:rPr>
          <w:rFonts w:hint="eastAsia" w:ascii="宋体" w:hAnsi="宋体"/>
          <w:b/>
          <w:szCs w:val="21"/>
        </w:rPr>
        <w:t>（二）联合体投标</w:t>
      </w:r>
    </w:p>
    <w:p>
      <w:pPr>
        <w:snapToGrid w:val="0"/>
        <w:spacing w:line="360" w:lineRule="auto"/>
        <w:ind w:firstLine="630" w:firstLineChars="300"/>
        <w:jc w:val="left"/>
        <w:rPr>
          <w:rFonts w:ascii="宋体" w:cs="Arial"/>
          <w:szCs w:val="21"/>
        </w:rPr>
      </w:pPr>
      <w:r>
        <w:rPr>
          <w:rFonts w:hint="eastAsia" w:ascii="宋体" w:hAnsi="宋体" w:cs="Arial"/>
          <w:szCs w:val="21"/>
        </w:rPr>
        <w:t>本项目接受联合体投标。</w:t>
      </w:r>
    </w:p>
    <w:p>
      <w:pPr>
        <w:snapToGrid w:val="0"/>
        <w:spacing w:line="360" w:lineRule="auto"/>
        <w:ind w:firstLine="413" w:firstLineChars="196"/>
        <w:rPr>
          <w:rFonts w:ascii="宋体" w:cs="宋体"/>
          <w:b/>
          <w:kern w:val="0"/>
          <w:szCs w:val="21"/>
        </w:rPr>
      </w:pPr>
      <w:r>
        <w:rPr>
          <w:rFonts w:hint="eastAsia" w:ascii="宋体" w:hAnsi="宋体"/>
          <w:b/>
          <w:szCs w:val="21"/>
        </w:rPr>
        <w:t>（三）</w:t>
      </w:r>
      <w:r>
        <w:rPr>
          <w:rFonts w:hint="eastAsia" w:ascii="宋体" w:hAnsi="宋体" w:cs="宋体"/>
          <w:b/>
          <w:kern w:val="0"/>
          <w:szCs w:val="21"/>
        </w:rPr>
        <w:t>转包与分包</w:t>
      </w:r>
    </w:p>
    <w:p>
      <w:pPr>
        <w:snapToGrid w:val="0"/>
        <w:spacing w:line="360" w:lineRule="auto"/>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本项目除广告宣传外不允许转包。</w:t>
      </w:r>
    </w:p>
    <w:p>
      <w:pPr>
        <w:snapToGrid w:val="0"/>
        <w:spacing w:line="360" w:lineRule="auto"/>
        <w:ind w:firstLine="420" w:firstLineChars="200"/>
        <w:rPr>
          <w:rFonts w:ascii="宋体"/>
          <w:szCs w:val="21"/>
        </w:rPr>
      </w:pPr>
      <w:r>
        <w:rPr>
          <w:rFonts w:ascii="宋体" w:hAnsi="宋体" w:cs="宋体"/>
          <w:kern w:val="0"/>
          <w:szCs w:val="21"/>
        </w:rPr>
        <w:t>2.</w:t>
      </w:r>
      <w:r>
        <w:rPr>
          <w:rFonts w:hint="eastAsia" w:ascii="宋体" w:hAnsi="宋体" w:cs="宋体"/>
          <w:kern w:val="0"/>
          <w:szCs w:val="21"/>
        </w:rPr>
        <w:t>本项目除广告宣传外不可以分包。</w:t>
      </w:r>
    </w:p>
    <w:p>
      <w:pPr>
        <w:snapToGrid w:val="0"/>
        <w:spacing w:line="360" w:lineRule="auto"/>
        <w:ind w:firstLine="413" w:firstLineChars="196"/>
        <w:jc w:val="left"/>
        <w:outlineLvl w:val="1"/>
        <w:rPr>
          <w:rFonts w:ascii="宋体"/>
          <w:b/>
          <w:szCs w:val="21"/>
        </w:rPr>
      </w:pPr>
      <w:r>
        <w:rPr>
          <w:rFonts w:hint="eastAsia" w:ascii="宋体" w:hAnsi="宋体"/>
          <w:b/>
          <w:szCs w:val="21"/>
        </w:rPr>
        <w:t>（四）特别说明：</w:t>
      </w:r>
    </w:p>
    <w:p>
      <w:pPr>
        <w:pStyle w:val="5"/>
        <w:snapToGrid w:val="0"/>
        <w:spacing w:before="156" w:line="360" w:lineRule="auto"/>
        <w:ind w:left="2" w:leftChars="1" w:firstLine="420" w:firstLineChars="200"/>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投标人投标所使用的资格、信誉、荣誉、业绩与企业认证必须为本法人所拥有。投标人投标所使用的采购项目实施人员必须为本法人正式员工。</w:t>
      </w:r>
    </w:p>
    <w:p>
      <w:pPr>
        <w:pStyle w:val="5"/>
        <w:snapToGrid w:val="0"/>
        <w:spacing w:before="156" w:line="360" w:lineRule="auto"/>
        <w:ind w:left="2" w:leftChars="1" w:firstLine="420" w:firstLineChars="200"/>
        <w:rPr>
          <w:rFonts w:hAnsi="宋体"/>
          <w:sz w:val="21"/>
          <w:szCs w:val="21"/>
        </w:rPr>
      </w:pPr>
      <w:r>
        <w:rPr>
          <w:rFonts w:hint="eastAsia" w:hAnsi="宋体"/>
          <w:sz w:val="21"/>
          <w:szCs w:val="21"/>
        </w:rPr>
        <w:t>★</w:t>
      </w:r>
      <w:r>
        <w:rPr>
          <w:rFonts w:hAnsi="宋体"/>
          <w:sz w:val="21"/>
          <w:szCs w:val="21"/>
        </w:rPr>
        <w:t>2.</w:t>
      </w:r>
      <w:r>
        <w:rPr>
          <w:rFonts w:hint="eastAsia" w:hAnsi="宋体"/>
          <w:sz w:val="21"/>
          <w:szCs w:val="21"/>
        </w:rPr>
        <w:t>投标人应仔细阅读招标文件的所有内容，按照招标文件的要求提交投标文件，并对所提供的全部资料的真实性承担法律责任。</w:t>
      </w:r>
    </w:p>
    <w:p>
      <w:pPr>
        <w:pStyle w:val="5"/>
        <w:snapToGrid w:val="0"/>
        <w:spacing w:before="156" w:line="360" w:lineRule="auto"/>
        <w:ind w:left="2" w:leftChars="1" w:firstLine="420" w:firstLineChars="200"/>
        <w:rPr>
          <w:rFonts w:hAnsi="宋体"/>
          <w:b/>
          <w:sz w:val="21"/>
          <w:szCs w:val="21"/>
        </w:rPr>
      </w:pPr>
      <w:r>
        <w:rPr>
          <w:rFonts w:hAnsi="宋体"/>
          <w:sz w:val="21"/>
          <w:szCs w:val="21"/>
        </w:rPr>
        <w:t>3</w:t>
      </w:r>
      <w:r>
        <w:rPr>
          <w:rFonts w:hint="eastAsia" w:hAnsi="宋体"/>
          <w:sz w:val="21"/>
          <w:szCs w:val="21"/>
        </w:rPr>
        <w:t>．本项目采用资格后审，招标人不保证所有报名的投标人都符合资格要求。</w:t>
      </w:r>
    </w:p>
    <w:p>
      <w:pPr>
        <w:pStyle w:val="5"/>
        <w:snapToGrid w:val="0"/>
        <w:spacing w:before="156" w:line="360" w:lineRule="auto"/>
        <w:ind w:firstLine="422" w:firstLineChars="200"/>
        <w:rPr>
          <w:rFonts w:hAnsi="宋体"/>
          <w:b/>
          <w:sz w:val="21"/>
          <w:szCs w:val="21"/>
        </w:rPr>
      </w:pPr>
    </w:p>
    <w:p>
      <w:pPr>
        <w:pStyle w:val="5"/>
        <w:snapToGrid w:val="0"/>
        <w:spacing w:before="156" w:line="360" w:lineRule="auto"/>
        <w:ind w:firstLine="422" w:firstLineChars="200"/>
        <w:rPr>
          <w:rFonts w:hAnsi="宋体"/>
          <w:b/>
          <w:sz w:val="21"/>
          <w:szCs w:val="21"/>
        </w:rPr>
      </w:pPr>
    </w:p>
    <w:p>
      <w:pPr>
        <w:pStyle w:val="5"/>
        <w:snapToGrid w:val="0"/>
        <w:spacing w:before="156" w:line="360" w:lineRule="auto"/>
        <w:ind w:firstLine="422" w:firstLineChars="200"/>
        <w:rPr>
          <w:rFonts w:hAnsi="宋体"/>
          <w:b/>
          <w:sz w:val="21"/>
          <w:szCs w:val="21"/>
        </w:rPr>
      </w:pPr>
      <w:r>
        <w:rPr>
          <w:rFonts w:hint="eastAsia" w:hAnsi="宋体"/>
          <w:b/>
          <w:sz w:val="21"/>
          <w:szCs w:val="21"/>
        </w:rPr>
        <w:t>二、招标文件</w:t>
      </w:r>
    </w:p>
    <w:p>
      <w:pPr>
        <w:snapToGrid w:val="0"/>
        <w:spacing w:line="360" w:lineRule="auto"/>
        <w:ind w:firstLine="413" w:firstLineChars="196"/>
        <w:jc w:val="left"/>
        <w:rPr>
          <w:rFonts w:ascii="宋体"/>
          <w:b/>
          <w:szCs w:val="21"/>
        </w:rPr>
      </w:pPr>
      <w:r>
        <w:rPr>
          <w:rFonts w:hint="eastAsia" w:ascii="宋体" w:hAnsi="宋体"/>
          <w:b/>
          <w:szCs w:val="21"/>
        </w:rPr>
        <w:t>（一）招标文件的构成。本招标文件由以下</w:t>
      </w:r>
      <w:r>
        <w:rPr>
          <w:rFonts w:hint="eastAsia" w:ascii="宋体" w:hAnsi="宋体"/>
          <w:b/>
          <w:szCs w:val="21"/>
          <w:lang w:eastAsia="zh-CN"/>
        </w:rPr>
        <w:t>部分</w:t>
      </w:r>
      <w:r>
        <w:rPr>
          <w:rFonts w:hint="eastAsia" w:ascii="宋体" w:hAnsi="宋体"/>
          <w:b/>
          <w:szCs w:val="21"/>
        </w:rPr>
        <w:t>组成：</w:t>
      </w:r>
    </w:p>
    <w:p>
      <w:pPr>
        <w:snapToGrid w:val="0"/>
        <w:spacing w:line="360" w:lineRule="auto"/>
        <w:ind w:firstLine="420" w:firstLineChars="200"/>
        <w:jc w:val="left"/>
        <w:rPr>
          <w:rFonts w:ascii="宋体"/>
          <w:szCs w:val="21"/>
        </w:rPr>
      </w:pPr>
      <w:r>
        <w:rPr>
          <w:rFonts w:ascii="宋体" w:hAnsi="宋体"/>
          <w:szCs w:val="21"/>
        </w:rPr>
        <w:t>1.</w:t>
      </w:r>
      <w:r>
        <w:rPr>
          <w:rFonts w:hint="eastAsia" w:ascii="宋体" w:hAnsi="宋体"/>
          <w:szCs w:val="21"/>
        </w:rPr>
        <w:t>公开招标公告</w:t>
      </w:r>
    </w:p>
    <w:p>
      <w:pPr>
        <w:snapToGrid w:val="0"/>
        <w:spacing w:line="360" w:lineRule="auto"/>
        <w:ind w:firstLine="420" w:firstLineChars="200"/>
        <w:jc w:val="left"/>
        <w:rPr>
          <w:rFonts w:ascii="宋体"/>
          <w:szCs w:val="21"/>
        </w:rPr>
      </w:pPr>
      <w:r>
        <w:rPr>
          <w:rFonts w:ascii="宋体" w:hAnsi="宋体"/>
          <w:szCs w:val="21"/>
        </w:rPr>
        <w:t>2.</w:t>
      </w:r>
      <w:r>
        <w:rPr>
          <w:rFonts w:hint="eastAsia" w:ascii="宋体" w:hAnsi="宋体"/>
          <w:szCs w:val="21"/>
        </w:rPr>
        <w:t>招标需求</w:t>
      </w:r>
    </w:p>
    <w:p>
      <w:pPr>
        <w:snapToGrid w:val="0"/>
        <w:spacing w:line="360" w:lineRule="auto"/>
        <w:ind w:firstLine="420" w:firstLineChars="200"/>
        <w:jc w:val="left"/>
        <w:rPr>
          <w:rFonts w:ascii="宋体"/>
          <w:szCs w:val="21"/>
        </w:rPr>
      </w:pPr>
      <w:r>
        <w:rPr>
          <w:rFonts w:ascii="宋体" w:hAnsi="宋体"/>
          <w:szCs w:val="21"/>
        </w:rPr>
        <w:t>3.</w:t>
      </w:r>
      <w:r>
        <w:rPr>
          <w:rFonts w:hint="eastAsia" w:ascii="宋体" w:hAnsi="宋体"/>
          <w:szCs w:val="21"/>
        </w:rPr>
        <w:t>投标人须知</w:t>
      </w:r>
    </w:p>
    <w:p>
      <w:pPr>
        <w:snapToGrid w:val="0"/>
        <w:spacing w:line="360" w:lineRule="auto"/>
        <w:ind w:firstLine="420" w:firstLineChars="200"/>
        <w:jc w:val="left"/>
        <w:rPr>
          <w:rFonts w:ascii="宋体"/>
          <w:szCs w:val="21"/>
        </w:rPr>
      </w:pPr>
      <w:r>
        <w:rPr>
          <w:rFonts w:ascii="宋体" w:hAnsi="宋体"/>
          <w:szCs w:val="21"/>
        </w:rPr>
        <w:t>4.</w:t>
      </w:r>
      <w:r>
        <w:rPr>
          <w:rFonts w:hint="eastAsia" w:ascii="宋体" w:hAnsi="宋体"/>
          <w:szCs w:val="21"/>
        </w:rPr>
        <w:t>评标办法及标准</w:t>
      </w:r>
    </w:p>
    <w:p>
      <w:pPr>
        <w:snapToGrid w:val="0"/>
        <w:spacing w:line="360" w:lineRule="auto"/>
        <w:ind w:firstLine="420" w:firstLineChars="200"/>
        <w:jc w:val="left"/>
        <w:rPr>
          <w:rFonts w:ascii="宋体"/>
          <w:szCs w:val="21"/>
        </w:rPr>
      </w:pPr>
      <w:r>
        <w:rPr>
          <w:rFonts w:ascii="宋体" w:hAnsi="宋体"/>
          <w:szCs w:val="21"/>
        </w:rPr>
        <w:t>5.</w:t>
      </w:r>
      <w:r>
        <w:rPr>
          <w:rFonts w:hint="eastAsia" w:ascii="宋体" w:hAnsi="宋体"/>
          <w:szCs w:val="21"/>
        </w:rPr>
        <w:t>采购合同范本</w:t>
      </w:r>
    </w:p>
    <w:p>
      <w:pPr>
        <w:snapToGrid w:val="0"/>
        <w:spacing w:line="360" w:lineRule="auto"/>
        <w:ind w:firstLine="420" w:firstLineChars="200"/>
        <w:jc w:val="left"/>
        <w:rPr>
          <w:rFonts w:ascii="宋体"/>
          <w:szCs w:val="21"/>
        </w:rPr>
      </w:pPr>
      <w:r>
        <w:rPr>
          <w:rFonts w:ascii="宋体" w:hAnsi="宋体"/>
          <w:szCs w:val="21"/>
        </w:rPr>
        <w:t>6.</w:t>
      </w:r>
      <w:r>
        <w:rPr>
          <w:rFonts w:hint="eastAsia" w:ascii="宋体" w:hAnsi="宋体"/>
          <w:szCs w:val="21"/>
        </w:rPr>
        <w:t>投标文件格式</w:t>
      </w:r>
    </w:p>
    <w:p>
      <w:pPr>
        <w:snapToGrid w:val="0"/>
        <w:spacing w:line="360" w:lineRule="auto"/>
        <w:ind w:firstLine="413" w:firstLineChars="196"/>
        <w:jc w:val="left"/>
        <w:rPr>
          <w:rFonts w:ascii="宋体"/>
          <w:b/>
          <w:szCs w:val="21"/>
        </w:rPr>
      </w:pPr>
      <w:r>
        <w:rPr>
          <w:rFonts w:hint="eastAsia" w:ascii="宋体" w:hAnsi="宋体"/>
          <w:b/>
          <w:szCs w:val="21"/>
        </w:rPr>
        <w:t>（二）投标人的风险</w:t>
      </w:r>
    </w:p>
    <w:p>
      <w:pPr>
        <w:pStyle w:val="9"/>
        <w:spacing w:line="360" w:lineRule="auto"/>
        <w:ind w:firstLine="420"/>
        <w:rPr>
          <w:rFonts w:ascii="宋体" w:eastAsia="宋体"/>
          <w:color w:val="auto"/>
          <w:sz w:val="21"/>
          <w:szCs w:val="21"/>
        </w:rPr>
      </w:pPr>
      <w:r>
        <w:rPr>
          <w:rFonts w:hint="eastAsia" w:ascii="宋体" w:eastAsia="宋体"/>
          <w:color w:val="auto"/>
          <w:sz w:val="21"/>
          <w:szCs w:val="21"/>
        </w:rPr>
        <w:t>投标人没有按照招标文件要求提供全部资料，或者投标人没有对招标文件在各方面作出实质性响应是投标人的风险，并可能导致其投标被拒绝。</w:t>
      </w:r>
    </w:p>
    <w:p>
      <w:pPr>
        <w:pStyle w:val="5"/>
        <w:snapToGrid w:val="0"/>
        <w:spacing w:before="156" w:line="360" w:lineRule="auto"/>
        <w:ind w:firstLine="422" w:firstLineChars="200"/>
        <w:rPr>
          <w:rFonts w:hAnsi="宋体"/>
          <w:b/>
          <w:sz w:val="21"/>
          <w:szCs w:val="21"/>
        </w:rPr>
      </w:pPr>
      <w:r>
        <w:rPr>
          <w:rFonts w:hint="eastAsia" w:hAnsi="宋体"/>
          <w:b/>
          <w:sz w:val="21"/>
          <w:szCs w:val="21"/>
        </w:rPr>
        <w:t>三、投标文件的编制</w:t>
      </w:r>
    </w:p>
    <w:p>
      <w:pPr>
        <w:snapToGrid w:val="0"/>
        <w:spacing w:line="360" w:lineRule="auto"/>
        <w:ind w:firstLine="413" w:firstLineChars="196"/>
        <w:jc w:val="left"/>
        <w:outlineLvl w:val="0"/>
        <w:rPr>
          <w:rFonts w:ascii="宋体"/>
          <w:b/>
          <w:szCs w:val="21"/>
        </w:rPr>
      </w:pPr>
      <w:bookmarkStart w:id="4" w:name="_Toc416249134"/>
      <w:r>
        <w:rPr>
          <w:rFonts w:hint="eastAsia" w:ascii="宋体" w:hAnsi="宋体"/>
          <w:b/>
          <w:szCs w:val="21"/>
        </w:rPr>
        <w:t>（一）投标文件的组成</w:t>
      </w:r>
      <w:bookmarkEnd w:id="4"/>
    </w:p>
    <w:p>
      <w:pPr>
        <w:snapToGrid w:val="0"/>
        <w:spacing w:line="360" w:lineRule="auto"/>
        <w:ind w:firstLine="420" w:firstLineChars="200"/>
        <w:jc w:val="left"/>
        <w:rPr>
          <w:rFonts w:ascii="宋体"/>
          <w:szCs w:val="21"/>
        </w:rPr>
      </w:pPr>
      <w:r>
        <w:rPr>
          <w:rFonts w:hint="eastAsia" w:ascii="宋体" w:hAnsi="宋体"/>
          <w:szCs w:val="21"/>
        </w:rPr>
        <w:t>投标文件由两部分组成，第一部分为技术标，第二部分为商务标。</w:t>
      </w:r>
    </w:p>
    <w:p>
      <w:pPr>
        <w:snapToGrid w:val="0"/>
        <w:spacing w:line="360" w:lineRule="auto"/>
        <w:ind w:firstLine="422" w:firstLineChars="200"/>
        <w:jc w:val="left"/>
        <w:rPr>
          <w:rFonts w:ascii="宋体"/>
          <w:b/>
          <w:szCs w:val="21"/>
        </w:rPr>
      </w:pPr>
      <w:r>
        <w:rPr>
          <w:rFonts w:ascii="宋体" w:hAnsi="宋体"/>
          <w:b/>
          <w:szCs w:val="21"/>
        </w:rPr>
        <w:t>1.</w:t>
      </w:r>
      <w:r>
        <w:rPr>
          <w:rFonts w:hint="eastAsia" w:ascii="宋体" w:hAnsi="宋体"/>
          <w:b/>
          <w:szCs w:val="21"/>
        </w:rPr>
        <w:t>技术资信文件的组成</w:t>
      </w:r>
    </w:p>
    <w:p>
      <w:pPr>
        <w:snapToGrid w:val="0"/>
        <w:spacing w:line="360" w:lineRule="auto"/>
        <w:ind w:firstLine="420" w:firstLineChars="200"/>
        <w:jc w:val="left"/>
        <w:rPr>
          <w:rFonts w:ascii="宋体"/>
          <w:color w:val="FF0000"/>
          <w:szCs w:val="21"/>
        </w:rPr>
      </w:pPr>
      <w:r>
        <w:rPr>
          <w:rFonts w:ascii="宋体" w:hAnsi="宋体"/>
          <w:color w:val="FF0000"/>
          <w:szCs w:val="21"/>
        </w:rPr>
        <w:t xml:space="preserve">1) </w:t>
      </w:r>
      <w:r>
        <w:rPr>
          <w:rFonts w:hint="eastAsia" w:ascii="宋体" w:hAnsi="宋体"/>
          <w:color w:val="FF0000"/>
          <w:szCs w:val="21"/>
        </w:rPr>
        <w:t>法人授权书</w:t>
      </w:r>
    </w:p>
    <w:p>
      <w:pPr>
        <w:snapToGrid w:val="0"/>
        <w:spacing w:line="360" w:lineRule="auto"/>
        <w:ind w:firstLine="420" w:firstLineChars="200"/>
        <w:jc w:val="left"/>
        <w:rPr>
          <w:rFonts w:ascii="宋体"/>
          <w:color w:val="FF0000"/>
          <w:szCs w:val="21"/>
        </w:rPr>
      </w:pPr>
      <w:r>
        <w:rPr>
          <w:rFonts w:ascii="宋体" w:hAnsi="宋体"/>
          <w:color w:val="FF0000"/>
          <w:szCs w:val="21"/>
        </w:rPr>
        <w:t>2</w:t>
      </w:r>
      <w:r>
        <w:rPr>
          <w:rFonts w:hint="eastAsia" w:ascii="宋体" w:hAnsi="宋体"/>
          <w:color w:val="FF0000"/>
          <w:szCs w:val="21"/>
        </w:rPr>
        <w:t>）资格声明函</w:t>
      </w:r>
    </w:p>
    <w:p>
      <w:pPr>
        <w:snapToGrid w:val="0"/>
        <w:spacing w:line="360" w:lineRule="auto"/>
        <w:ind w:firstLine="420" w:firstLineChars="200"/>
        <w:jc w:val="left"/>
        <w:rPr>
          <w:rFonts w:ascii="宋体"/>
          <w:color w:val="FF0000"/>
          <w:szCs w:val="21"/>
        </w:rPr>
      </w:pPr>
      <w:r>
        <w:rPr>
          <w:rFonts w:ascii="宋体" w:hAnsi="宋体"/>
          <w:color w:val="FF0000"/>
          <w:szCs w:val="21"/>
        </w:rPr>
        <w:t>3</w:t>
      </w:r>
      <w:r>
        <w:rPr>
          <w:rFonts w:hint="eastAsia" w:ascii="宋体" w:hAnsi="宋体"/>
          <w:color w:val="FF0000"/>
          <w:szCs w:val="21"/>
        </w:rPr>
        <w:t>）法人营业执照副本、国税、地税登记证副本</w:t>
      </w:r>
    </w:p>
    <w:p>
      <w:pPr>
        <w:snapToGrid w:val="0"/>
        <w:spacing w:line="360" w:lineRule="auto"/>
        <w:ind w:firstLine="420" w:firstLineChars="200"/>
        <w:jc w:val="left"/>
        <w:rPr>
          <w:rFonts w:ascii="宋体"/>
          <w:color w:val="FF0000"/>
          <w:szCs w:val="21"/>
        </w:rPr>
      </w:pPr>
      <w:r>
        <w:rPr>
          <w:rFonts w:ascii="宋体" w:hAnsi="宋体"/>
          <w:color w:val="FF0000"/>
          <w:szCs w:val="21"/>
        </w:rPr>
        <w:t>4</w:t>
      </w:r>
      <w:r>
        <w:rPr>
          <w:rFonts w:hint="eastAsia" w:ascii="宋体" w:hAnsi="宋体"/>
          <w:color w:val="FF0000"/>
          <w:szCs w:val="21"/>
        </w:rPr>
        <w:t>）近三年经营期间，服务质量投诉方面无重大社会不良影响、无一次性</w:t>
      </w:r>
      <w:r>
        <w:rPr>
          <w:rFonts w:ascii="宋体" w:hAnsi="宋体"/>
          <w:color w:val="FF0000"/>
          <w:szCs w:val="21"/>
        </w:rPr>
        <w:t>3</w:t>
      </w:r>
      <w:r>
        <w:rPr>
          <w:rFonts w:hint="eastAsia" w:ascii="宋体" w:hAnsi="宋体"/>
          <w:color w:val="FF0000"/>
          <w:szCs w:val="21"/>
        </w:rPr>
        <w:t>人以上伤亡的重大安全事故的书面声明</w:t>
      </w:r>
    </w:p>
    <w:p>
      <w:pPr>
        <w:snapToGrid w:val="0"/>
        <w:spacing w:line="360" w:lineRule="auto"/>
        <w:ind w:firstLine="420" w:firstLineChars="200"/>
        <w:jc w:val="left"/>
        <w:rPr>
          <w:rFonts w:ascii="宋体"/>
          <w:color w:val="FF0000"/>
          <w:szCs w:val="21"/>
        </w:rPr>
      </w:pPr>
      <w:r>
        <w:rPr>
          <w:rFonts w:ascii="宋体" w:hAnsi="宋体"/>
          <w:color w:val="FF0000"/>
          <w:szCs w:val="21"/>
        </w:rPr>
        <w:t>5</w:t>
      </w:r>
      <w:r>
        <w:rPr>
          <w:rFonts w:hint="eastAsia" w:ascii="宋体" w:hAnsi="宋体"/>
          <w:color w:val="FF0000"/>
          <w:szCs w:val="21"/>
        </w:rPr>
        <w:t>）投标人情况介绍</w:t>
      </w:r>
    </w:p>
    <w:p>
      <w:pPr>
        <w:snapToGrid w:val="0"/>
        <w:spacing w:line="360" w:lineRule="auto"/>
        <w:ind w:firstLine="420" w:firstLineChars="200"/>
        <w:jc w:val="left"/>
        <w:rPr>
          <w:rFonts w:ascii="宋体"/>
          <w:color w:val="FF0000"/>
          <w:szCs w:val="21"/>
        </w:rPr>
      </w:pPr>
      <w:r>
        <w:rPr>
          <w:rFonts w:ascii="宋体" w:hAnsi="宋体"/>
          <w:color w:val="FF0000"/>
          <w:szCs w:val="21"/>
        </w:rPr>
        <w:t>6</w:t>
      </w:r>
      <w:r>
        <w:rPr>
          <w:rFonts w:hint="eastAsia" w:ascii="宋体" w:hAnsi="宋体"/>
          <w:color w:val="FF0000"/>
          <w:szCs w:val="21"/>
        </w:rPr>
        <w:t>）提供当地旅游项目的结对书</w:t>
      </w:r>
    </w:p>
    <w:p>
      <w:pPr>
        <w:snapToGrid w:val="0"/>
        <w:spacing w:line="360" w:lineRule="auto"/>
        <w:ind w:firstLine="420" w:firstLineChars="200"/>
        <w:jc w:val="left"/>
        <w:rPr>
          <w:rFonts w:ascii="宋体"/>
          <w:color w:val="FF0000"/>
          <w:szCs w:val="21"/>
        </w:rPr>
      </w:pPr>
      <w:r>
        <w:rPr>
          <w:rFonts w:ascii="宋体" w:hAnsi="宋体"/>
          <w:color w:val="FF0000"/>
          <w:szCs w:val="21"/>
        </w:rPr>
        <w:t>7</w:t>
      </w:r>
      <w:r>
        <w:rPr>
          <w:rFonts w:hint="eastAsia" w:ascii="宋体" w:hAnsi="宋体"/>
          <w:color w:val="FF0000"/>
          <w:szCs w:val="21"/>
        </w:rPr>
        <w:t>）针对本项目的详细服务方案（必须提供详细行程安排计划）</w:t>
      </w:r>
    </w:p>
    <w:p>
      <w:pPr>
        <w:snapToGrid w:val="0"/>
        <w:spacing w:line="360" w:lineRule="auto"/>
        <w:ind w:firstLine="420" w:firstLineChars="200"/>
        <w:jc w:val="left"/>
        <w:rPr>
          <w:rFonts w:ascii="宋体"/>
          <w:color w:val="FF0000"/>
          <w:szCs w:val="21"/>
        </w:rPr>
      </w:pPr>
      <w:r>
        <w:rPr>
          <w:rFonts w:ascii="宋体" w:hAnsi="宋体"/>
          <w:color w:val="FF0000"/>
          <w:szCs w:val="21"/>
        </w:rPr>
        <w:t>8</w:t>
      </w:r>
      <w:r>
        <w:rPr>
          <w:rFonts w:hint="eastAsia" w:ascii="宋体" w:hAnsi="宋体"/>
          <w:color w:val="FF0000"/>
          <w:szCs w:val="21"/>
        </w:rPr>
        <w:t>）本项目服务人员配备一览表</w:t>
      </w:r>
    </w:p>
    <w:p>
      <w:pPr>
        <w:snapToGrid w:val="0"/>
        <w:spacing w:line="360" w:lineRule="auto"/>
        <w:ind w:firstLine="420" w:firstLineChars="200"/>
        <w:jc w:val="left"/>
        <w:rPr>
          <w:rFonts w:ascii="宋体"/>
          <w:color w:val="FF0000"/>
          <w:szCs w:val="21"/>
        </w:rPr>
      </w:pPr>
      <w:r>
        <w:rPr>
          <w:rFonts w:ascii="宋体" w:hAnsi="宋体"/>
          <w:color w:val="FF0000"/>
          <w:szCs w:val="21"/>
        </w:rPr>
        <w:t>9</w:t>
      </w:r>
      <w:r>
        <w:rPr>
          <w:rFonts w:hint="eastAsia" w:ascii="宋体" w:hAnsi="宋体"/>
          <w:color w:val="FF0000"/>
          <w:szCs w:val="21"/>
        </w:rPr>
        <w:t>）自有旅游服务车辆的情况说明</w:t>
      </w:r>
    </w:p>
    <w:p>
      <w:pPr>
        <w:snapToGrid w:val="0"/>
        <w:spacing w:line="360" w:lineRule="auto"/>
        <w:ind w:firstLine="420" w:firstLineChars="200"/>
        <w:jc w:val="left"/>
        <w:rPr>
          <w:rFonts w:ascii="宋体"/>
          <w:color w:val="FF0000"/>
          <w:szCs w:val="21"/>
        </w:rPr>
      </w:pPr>
      <w:r>
        <w:rPr>
          <w:rFonts w:ascii="宋体" w:hAnsi="宋体"/>
          <w:color w:val="FF0000"/>
          <w:szCs w:val="21"/>
        </w:rPr>
        <w:t>10</w:t>
      </w:r>
      <w:r>
        <w:rPr>
          <w:rFonts w:hint="eastAsia" w:ascii="宋体" w:hAnsi="宋体"/>
          <w:color w:val="FF0000"/>
          <w:szCs w:val="21"/>
        </w:rPr>
        <w:t>）服务保障措施的详细说明</w:t>
      </w:r>
    </w:p>
    <w:p>
      <w:pPr>
        <w:snapToGrid w:val="0"/>
        <w:spacing w:line="360" w:lineRule="auto"/>
        <w:ind w:firstLine="420" w:firstLineChars="200"/>
        <w:jc w:val="left"/>
        <w:rPr>
          <w:rFonts w:ascii="宋体"/>
          <w:color w:val="FF0000"/>
          <w:szCs w:val="21"/>
        </w:rPr>
      </w:pPr>
      <w:r>
        <w:rPr>
          <w:rFonts w:ascii="宋体" w:hAnsi="宋体"/>
          <w:color w:val="FF0000"/>
          <w:szCs w:val="21"/>
        </w:rPr>
        <w:t>11</w:t>
      </w:r>
      <w:r>
        <w:rPr>
          <w:rFonts w:hint="eastAsia" w:ascii="宋体" w:hAnsi="宋体"/>
          <w:color w:val="FF0000"/>
          <w:szCs w:val="21"/>
        </w:rPr>
        <w:t>）</w:t>
      </w:r>
      <w:r>
        <w:rPr>
          <w:rFonts w:ascii="宋体" w:hAnsi="宋体"/>
          <w:color w:val="FF0000"/>
          <w:szCs w:val="21"/>
        </w:rPr>
        <w:t>2013</w:t>
      </w:r>
      <w:r>
        <w:rPr>
          <w:rFonts w:hint="eastAsia" w:ascii="宋体" w:hAnsi="宋体"/>
          <w:color w:val="FF0000"/>
          <w:szCs w:val="21"/>
        </w:rPr>
        <w:t>年至今取得过类似职工疗休养项目的合同书</w:t>
      </w:r>
    </w:p>
    <w:p>
      <w:pPr>
        <w:snapToGrid w:val="0"/>
        <w:spacing w:line="360" w:lineRule="auto"/>
        <w:ind w:firstLine="420" w:firstLineChars="200"/>
        <w:jc w:val="left"/>
        <w:rPr>
          <w:rFonts w:ascii="宋体"/>
          <w:color w:val="FF0000"/>
          <w:szCs w:val="21"/>
        </w:rPr>
      </w:pPr>
      <w:r>
        <w:rPr>
          <w:rFonts w:ascii="宋体" w:hAnsi="宋体"/>
          <w:color w:val="FF0000"/>
          <w:szCs w:val="21"/>
        </w:rPr>
        <w:t>12</w:t>
      </w:r>
      <w:r>
        <w:rPr>
          <w:rFonts w:hint="eastAsia" w:ascii="宋体" w:hAnsi="宋体"/>
          <w:color w:val="FF0000"/>
          <w:szCs w:val="21"/>
        </w:rPr>
        <w:t>）相关资格证书及其他投标方认为有必要提供的资料</w:t>
      </w:r>
    </w:p>
    <w:p>
      <w:pPr>
        <w:pStyle w:val="3"/>
        <w:spacing w:after="0" w:line="360" w:lineRule="auto"/>
        <w:ind w:firstLine="422" w:firstLineChars="200"/>
        <w:rPr>
          <w:b/>
          <w:color w:val="FF0000"/>
          <w:sz w:val="21"/>
          <w:szCs w:val="21"/>
        </w:rPr>
      </w:pPr>
      <w:r>
        <w:rPr>
          <w:b/>
          <w:color w:val="FF0000"/>
          <w:sz w:val="21"/>
          <w:szCs w:val="21"/>
        </w:rPr>
        <w:t>2</w:t>
      </w:r>
      <w:r>
        <w:rPr>
          <w:rFonts w:hint="eastAsia"/>
          <w:b/>
          <w:color w:val="FF0000"/>
          <w:sz w:val="21"/>
          <w:szCs w:val="21"/>
        </w:rPr>
        <w:t>、报价文件的组成</w:t>
      </w:r>
    </w:p>
    <w:p>
      <w:pPr>
        <w:pStyle w:val="10"/>
        <w:widowControl w:val="0"/>
        <w:spacing w:line="360" w:lineRule="auto"/>
        <w:ind w:firstLine="420" w:firstLineChars="200"/>
        <w:rPr>
          <w:color w:val="FF0000"/>
          <w:sz w:val="21"/>
          <w:szCs w:val="21"/>
        </w:rPr>
      </w:pPr>
      <w:r>
        <w:rPr>
          <w:color w:val="FF0000"/>
          <w:sz w:val="21"/>
          <w:szCs w:val="21"/>
        </w:rPr>
        <w:t xml:space="preserve">1) </w:t>
      </w:r>
      <w:r>
        <w:rPr>
          <w:rFonts w:hint="eastAsia"/>
          <w:color w:val="FF0000"/>
          <w:sz w:val="21"/>
          <w:szCs w:val="21"/>
        </w:rPr>
        <w:t>报价书和分项报价清单</w:t>
      </w:r>
    </w:p>
    <w:p>
      <w:pPr>
        <w:pStyle w:val="10"/>
        <w:widowControl w:val="0"/>
        <w:spacing w:line="360" w:lineRule="auto"/>
        <w:ind w:firstLine="420" w:firstLineChars="200"/>
        <w:rPr>
          <w:color w:val="FF0000"/>
          <w:sz w:val="21"/>
          <w:szCs w:val="21"/>
        </w:rPr>
      </w:pPr>
      <w:r>
        <w:rPr>
          <w:color w:val="FF0000"/>
          <w:sz w:val="21"/>
          <w:szCs w:val="21"/>
        </w:rPr>
        <w:t xml:space="preserve">2) </w:t>
      </w:r>
      <w:r>
        <w:rPr>
          <w:rFonts w:hint="eastAsia"/>
          <w:color w:val="FF0000"/>
          <w:sz w:val="21"/>
          <w:szCs w:val="21"/>
        </w:rPr>
        <w:t>其他投标方认为有必要提供的资料</w:t>
      </w:r>
    </w:p>
    <w:p>
      <w:pPr>
        <w:snapToGrid w:val="0"/>
        <w:spacing w:line="360" w:lineRule="auto"/>
        <w:ind w:firstLine="413" w:firstLineChars="196"/>
        <w:jc w:val="left"/>
        <w:outlineLvl w:val="0"/>
        <w:rPr>
          <w:rFonts w:ascii="宋体"/>
          <w:b/>
          <w:szCs w:val="21"/>
        </w:rPr>
      </w:pPr>
      <w:bookmarkStart w:id="5" w:name="_Toc416249135"/>
      <w:r>
        <w:rPr>
          <w:rFonts w:hint="eastAsia" w:ascii="宋体" w:hAnsi="宋体"/>
          <w:b/>
          <w:szCs w:val="21"/>
        </w:rPr>
        <w:t>（二）投标文件的语言及计量</w:t>
      </w:r>
      <w:bookmarkEnd w:id="5"/>
    </w:p>
    <w:p>
      <w:pPr>
        <w:snapToGrid w:val="0"/>
        <w:spacing w:line="360" w:lineRule="auto"/>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投标计量单位，招标文件已有明确规定的，使用招标文件规定的计量单位；招标文件没有规定的，应采用中华人民共和国法定计量单位（货币单位：人民币元），否则视同未响应。</w:t>
      </w:r>
    </w:p>
    <w:p>
      <w:pPr>
        <w:pStyle w:val="5"/>
        <w:snapToGrid w:val="0"/>
        <w:spacing w:before="156" w:line="360" w:lineRule="auto"/>
        <w:ind w:firstLine="420" w:firstLineChars="200"/>
        <w:jc w:val="left"/>
        <w:rPr>
          <w:rFonts w:hAnsi="宋体"/>
          <w:sz w:val="21"/>
          <w:szCs w:val="21"/>
        </w:rPr>
      </w:pPr>
      <w:r>
        <w:rPr>
          <w:rFonts w:hAnsi="宋体"/>
          <w:sz w:val="21"/>
          <w:szCs w:val="21"/>
        </w:rPr>
        <w:t>1.</w:t>
      </w:r>
      <w:r>
        <w:rPr>
          <w:rFonts w:hint="eastAsia" w:hAnsi="宋体"/>
          <w:sz w:val="21"/>
          <w:szCs w:val="21"/>
        </w:rPr>
        <w:t>投标报价应按招标文件中相关附表格式填写。</w:t>
      </w:r>
    </w:p>
    <w:p>
      <w:pPr>
        <w:pStyle w:val="5"/>
        <w:snapToGrid w:val="0"/>
        <w:spacing w:before="156" w:line="360" w:lineRule="auto"/>
        <w:ind w:firstLine="420" w:firstLineChars="200"/>
        <w:rPr>
          <w:rFonts w:hAnsi="宋体"/>
          <w:sz w:val="21"/>
          <w:szCs w:val="21"/>
        </w:rPr>
      </w:pPr>
      <w:r>
        <w:rPr>
          <w:rFonts w:hint="eastAsia" w:hAnsi="宋体"/>
          <w:sz w:val="21"/>
          <w:szCs w:val="21"/>
        </w:rPr>
        <w:t>★</w:t>
      </w:r>
      <w:r>
        <w:rPr>
          <w:rFonts w:hAnsi="宋体"/>
          <w:sz w:val="21"/>
          <w:szCs w:val="21"/>
        </w:rPr>
        <w:t>2.</w:t>
      </w:r>
      <w:r>
        <w:rPr>
          <w:rFonts w:hint="eastAsia" w:hAnsi="宋体"/>
          <w:sz w:val="21"/>
          <w:szCs w:val="21"/>
        </w:rPr>
        <w:t>投标报价为履行合同的最终价格，包括完成本项目服务内容的所有费用。投标人的报价如有漏项也视为优惠已包含在报价中。</w:t>
      </w:r>
    </w:p>
    <w:p>
      <w:pPr>
        <w:tabs>
          <w:tab w:val="left" w:pos="525"/>
        </w:tabs>
        <w:snapToGrid w:val="0"/>
        <w:spacing w:line="360" w:lineRule="auto"/>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投标文件只允许有一个报价，有选择的或有条件的报价将不予接受。</w:t>
      </w:r>
    </w:p>
    <w:p>
      <w:pPr>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投标文件必须在规定的投标文件递交截止时间前派专人送达指定的地点，逾期送达者，其投标文件不予接受；</w:t>
      </w:r>
    </w:p>
    <w:p>
      <w:pPr>
        <w:snapToGrid w:val="0"/>
        <w:spacing w:line="360" w:lineRule="auto"/>
        <w:ind w:firstLine="420" w:firstLineChars="200"/>
        <w:rPr>
          <w:rFonts w:ascii="宋体"/>
          <w:szCs w:val="21"/>
        </w:rPr>
      </w:pPr>
      <w:r>
        <w:rPr>
          <w:rFonts w:ascii="宋体" w:hAnsi="宋体"/>
          <w:szCs w:val="21"/>
        </w:rPr>
        <w:t>2.</w:t>
      </w:r>
      <w:r>
        <w:rPr>
          <w:rFonts w:hint="eastAsia" w:ascii="宋体" w:hAnsi="宋体"/>
          <w:szCs w:val="21"/>
        </w:rPr>
        <w:t>招标人因故推迟投标文件递交截止时间，将以书面形式通知所有投标人。在这种情况下，招标人和投标人的权利和义务将受到新的截止时间的约束。</w:t>
      </w:r>
    </w:p>
    <w:p>
      <w:pPr>
        <w:pStyle w:val="4"/>
        <w:snapToGrid w:val="0"/>
        <w:spacing w:line="360" w:lineRule="auto"/>
        <w:ind w:firstLine="420" w:firstLineChars="200"/>
        <w:rPr>
          <w:rFonts w:hAnsi="宋体"/>
          <w:spacing w:val="0"/>
          <w:sz w:val="21"/>
          <w:szCs w:val="21"/>
        </w:rPr>
      </w:pPr>
      <w:r>
        <w:rPr>
          <w:rFonts w:hAnsi="宋体"/>
          <w:spacing w:val="0"/>
          <w:sz w:val="21"/>
          <w:szCs w:val="21"/>
        </w:rPr>
        <w:t>3.</w:t>
      </w:r>
      <w:r>
        <w:rPr>
          <w:rFonts w:hint="eastAsia" w:hAnsi="宋体"/>
          <w:spacing w:val="0"/>
          <w:sz w:val="21"/>
          <w:szCs w:val="21"/>
        </w:rPr>
        <w:t>在投标文件递交截止时间以后送达的投标文件，招标人拒绝接受。</w:t>
      </w:r>
    </w:p>
    <w:p>
      <w:pPr>
        <w:pStyle w:val="5"/>
        <w:snapToGrid w:val="0"/>
        <w:spacing w:before="156" w:line="360" w:lineRule="auto"/>
        <w:ind w:firstLine="422" w:firstLineChars="200"/>
        <w:rPr>
          <w:rFonts w:hAnsi="宋体"/>
          <w:b/>
          <w:sz w:val="21"/>
          <w:szCs w:val="21"/>
        </w:rPr>
      </w:pPr>
      <w:r>
        <w:rPr>
          <w:rFonts w:hint="eastAsia" w:hAnsi="宋体"/>
          <w:b/>
          <w:sz w:val="21"/>
          <w:szCs w:val="21"/>
        </w:rPr>
        <w:t>四、开标</w:t>
      </w:r>
    </w:p>
    <w:p>
      <w:pPr>
        <w:snapToGrid w:val="0"/>
        <w:spacing w:line="360" w:lineRule="auto"/>
        <w:ind w:firstLine="413" w:firstLineChars="196"/>
        <w:outlineLvl w:val="2"/>
        <w:rPr>
          <w:rFonts w:ascii="宋体"/>
          <w:b/>
          <w:szCs w:val="21"/>
        </w:rPr>
      </w:pPr>
      <w:r>
        <w:rPr>
          <w:rFonts w:hint="eastAsia" w:ascii="宋体" w:hAnsi="宋体"/>
          <w:b/>
          <w:szCs w:val="21"/>
        </w:rPr>
        <w:t>（一）开标准备</w:t>
      </w:r>
    </w:p>
    <w:p>
      <w:pPr>
        <w:pStyle w:val="5"/>
        <w:snapToGrid w:val="0"/>
        <w:spacing w:before="156" w:line="360" w:lineRule="auto"/>
        <w:ind w:firstLine="630" w:firstLineChars="300"/>
        <w:rPr>
          <w:rFonts w:hAnsi="宋体"/>
          <w:bCs/>
          <w:sz w:val="21"/>
          <w:szCs w:val="21"/>
        </w:rPr>
      </w:pPr>
      <w:r>
        <w:rPr>
          <w:rFonts w:hint="eastAsia" w:hAnsi="宋体"/>
          <w:bCs/>
          <w:sz w:val="21"/>
          <w:szCs w:val="21"/>
        </w:rPr>
        <w:t>招标人将在规定的时间和地点进行开标，投标人的法定代表人或其授权代表应参加开标会并签到。投标人的法定代表人或其授权代表未按时签到的，视同放弃开标监督权利、认可开标结果。</w:t>
      </w:r>
    </w:p>
    <w:p>
      <w:pPr>
        <w:snapToGrid w:val="0"/>
        <w:spacing w:line="360" w:lineRule="auto"/>
        <w:ind w:firstLine="413" w:firstLineChars="196"/>
        <w:outlineLvl w:val="2"/>
        <w:rPr>
          <w:rFonts w:ascii="宋体"/>
          <w:b/>
          <w:szCs w:val="21"/>
        </w:rPr>
      </w:pPr>
      <w:r>
        <w:rPr>
          <w:rFonts w:hint="eastAsia" w:ascii="宋体" w:hAnsi="宋体"/>
          <w:b/>
          <w:szCs w:val="21"/>
        </w:rPr>
        <w:t>（二）</w:t>
      </w:r>
      <w:r>
        <w:rPr>
          <w:rFonts w:ascii="宋体" w:hAnsi="宋体"/>
          <w:b/>
          <w:szCs w:val="21"/>
        </w:rPr>
        <w:t xml:space="preserve"> </w:t>
      </w:r>
      <w:r>
        <w:rPr>
          <w:rFonts w:hint="eastAsia" w:ascii="宋体" w:hAnsi="宋体"/>
          <w:b/>
          <w:szCs w:val="21"/>
        </w:rPr>
        <w:t>开标程序：</w:t>
      </w:r>
    </w:p>
    <w:p>
      <w:pPr>
        <w:pStyle w:val="5"/>
        <w:snapToGrid w:val="0"/>
        <w:spacing w:before="156" w:line="360" w:lineRule="auto"/>
        <w:ind w:firstLine="420" w:firstLineChars="200"/>
        <w:rPr>
          <w:rFonts w:hAnsi="宋体"/>
          <w:sz w:val="21"/>
          <w:szCs w:val="21"/>
        </w:rPr>
      </w:pPr>
      <w:r>
        <w:rPr>
          <w:rFonts w:hAnsi="宋体"/>
          <w:sz w:val="21"/>
          <w:szCs w:val="21"/>
        </w:rPr>
        <w:t>1.</w:t>
      </w:r>
      <w:r>
        <w:rPr>
          <w:rFonts w:hint="eastAsia" w:hAnsi="宋体"/>
          <w:sz w:val="21"/>
          <w:szCs w:val="21"/>
        </w:rPr>
        <w:t>开标会由招标人主持，主持人宣布开标会议开始；</w:t>
      </w:r>
    </w:p>
    <w:p>
      <w:pPr>
        <w:pStyle w:val="5"/>
        <w:snapToGrid w:val="0"/>
        <w:spacing w:before="156" w:line="360" w:lineRule="auto"/>
        <w:ind w:firstLine="420" w:firstLineChars="200"/>
        <w:rPr>
          <w:rFonts w:hAnsi="宋体"/>
          <w:sz w:val="21"/>
          <w:szCs w:val="21"/>
        </w:rPr>
      </w:pPr>
      <w:r>
        <w:rPr>
          <w:rFonts w:hAnsi="宋体"/>
          <w:sz w:val="21"/>
          <w:szCs w:val="21"/>
        </w:rPr>
        <w:t>2.</w:t>
      </w:r>
      <w:r>
        <w:rPr>
          <w:rFonts w:hint="eastAsia" w:hAnsi="宋体"/>
          <w:sz w:val="21"/>
          <w:szCs w:val="21"/>
        </w:rPr>
        <w:t>主持人介绍参加开标会的人员名单；</w:t>
      </w:r>
      <w:r>
        <w:rPr>
          <w:rFonts w:hAnsi="宋体"/>
          <w:sz w:val="21"/>
          <w:szCs w:val="21"/>
        </w:rPr>
        <w:t xml:space="preserve"> </w:t>
      </w:r>
    </w:p>
    <w:p>
      <w:pPr>
        <w:pStyle w:val="5"/>
        <w:snapToGrid w:val="0"/>
        <w:spacing w:before="156" w:line="360" w:lineRule="auto"/>
        <w:ind w:firstLine="420" w:firstLineChars="200"/>
        <w:rPr>
          <w:rFonts w:hAnsi="宋体"/>
          <w:sz w:val="21"/>
          <w:szCs w:val="21"/>
        </w:rPr>
      </w:pPr>
      <w:r>
        <w:rPr>
          <w:rFonts w:hAnsi="宋体"/>
          <w:sz w:val="21"/>
          <w:szCs w:val="21"/>
        </w:rPr>
        <w:t>3.</w:t>
      </w:r>
      <w:r>
        <w:rPr>
          <w:rFonts w:hint="eastAsia" w:hAnsi="宋体"/>
          <w:sz w:val="21"/>
          <w:szCs w:val="21"/>
        </w:rPr>
        <w:t>主持人宣布评标期间的有关事项；告知应当回避的情形</w:t>
      </w:r>
      <w:r>
        <w:rPr>
          <w:rFonts w:hAnsi="宋体"/>
          <w:sz w:val="21"/>
          <w:szCs w:val="21"/>
        </w:rPr>
        <w:t>,</w:t>
      </w:r>
      <w:r>
        <w:rPr>
          <w:rFonts w:hint="eastAsia" w:hAnsi="宋体"/>
          <w:sz w:val="21"/>
          <w:szCs w:val="21"/>
        </w:rPr>
        <w:t>提请有关人员回避；</w:t>
      </w:r>
    </w:p>
    <w:p>
      <w:pPr>
        <w:pStyle w:val="5"/>
        <w:snapToGrid w:val="0"/>
        <w:spacing w:before="156" w:line="360" w:lineRule="auto"/>
        <w:ind w:firstLine="420" w:firstLineChars="200"/>
        <w:rPr>
          <w:rFonts w:hAnsi="宋体"/>
          <w:sz w:val="21"/>
          <w:szCs w:val="21"/>
        </w:rPr>
      </w:pPr>
      <w:r>
        <w:rPr>
          <w:rFonts w:hAnsi="宋体"/>
          <w:sz w:val="21"/>
          <w:szCs w:val="21"/>
        </w:rPr>
        <w:t>4.</w:t>
      </w:r>
      <w:r>
        <w:rPr>
          <w:rFonts w:hint="eastAsia" w:hAnsi="宋体"/>
          <w:sz w:val="21"/>
          <w:szCs w:val="21"/>
        </w:rPr>
        <w:t>项目监标人检查投标文件密封的完整性并签字确认；</w:t>
      </w:r>
    </w:p>
    <w:p>
      <w:pPr>
        <w:pStyle w:val="5"/>
        <w:snapToGrid w:val="0"/>
        <w:spacing w:before="156" w:line="360" w:lineRule="auto"/>
        <w:ind w:firstLine="420" w:firstLineChars="200"/>
        <w:rPr>
          <w:rFonts w:hAnsi="宋体"/>
          <w:sz w:val="21"/>
          <w:szCs w:val="21"/>
        </w:rPr>
      </w:pPr>
      <w:r>
        <w:rPr>
          <w:rFonts w:hAnsi="宋体"/>
          <w:sz w:val="21"/>
          <w:szCs w:val="21"/>
        </w:rPr>
        <w:t>5.</w:t>
      </w:r>
      <w:r>
        <w:rPr>
          <w:rFonts w:hint="eastAsia" w:hAnsi="宋体"/>
          <w:sz w:val="21"/>
          <w:szCs w:val="21"/>
        </w:rPr>
        <w:t>按各投标人提交投标文件时间的先后顺序打开技术标外包装，清点投标文件正本、副本数量，并由投标人代表签字确认；</w:t>
      </w:r>
    </w:p>
    <w:p>
      <w:pPr>
        <w:pStyle w:val="5"/>
        <w:snapToGrid w:val="0"/>
        <w:spacing w:before="156" w:line="360" w:lineRule="auto"/>
        <w:ind w:firstLine="420" w:firstLineChars="200"/>
        <w:rPr>
          <w:rFonts w:hAnsi="宋体"/>
          <w:sz w:val="21"/>
          <w:szCs w:val="21"/>
        </w:rPr>
      </w:pPr>
      <w:r>
        <w:rPr>
          <w:rFonts w:hAnsi="宋体"/>
          <w:sz w:val="21"/>
          <w:szCs w:val="21"/>
        </w:rPr>
        <w:t>6.</w:t>
      </w:r>
      <w:r>
        <w:rPr>
          <w:rFonts w:hint="eastAsia" w:hAnsi="宋体"/>
          <w:sz w:val="21"/>
          <w:szCs w:val="21"/>
        </w:rPr>
        <w:t>技术标评分结束后，由主持人公布无效投标的投标人名单、投标无效的原因及其他有效投标的评分结果；</w:t>
      </w:r>
    </w:p>
    <w:p>
      <w:pPr>
        <w:pStyle w:val="5"/>
        <w:snapToGrid w:val="0"/>
        <w:spacing w:before="156" w:line="360" w:lineRule="auto"/>
        <w:ind w:firstLine="420" w:firstLineChars="200"/>
        <w:rPr>
          <w:rFonts w:hAnsi="宋体"/>
          <w:sz w:val="21"/>
          <w:szCs w:val="21"/>
        </w:rPr>
      </w:pPr>
      <w:r>
        <w:rPr>
          <w:rFonts w:hAnsi="宋体"/>
          <w:sz w:val="21"/>
          <w:szCs w:val="21"/>
        </w:rPr>
        <w:t>7.</w:t>
      </w:r>
      <w:r>
        <w:rPr>
          <w:rFonts w:hint="eastAsia" w:hAnsi="宋体"/>
          <w:sz w:val="21"/>
          <w:szCs w:val="21"/>
        </w:rPr>
        <w:t>由主持人宣读《投标报价书》中的投标人名称及在其投标文件中承诺的投标报价、投标内容（投标设备名称、规格型号或者服务项目名称），以及采购代理机构认为有必要宣读的其他内容。</w:t>
      </w:r>
    </w:p>
    <w:p>
      <w:pPr>
        <w:pStyle w:val="5"/>
        <w:snapToGrid w:val="0"/>
        <w:spacing w:before="156" w:line="360" w:lineRule="auto"/>
        <w:ind w:firstLine="420" w:firstLineChars="200"/>
        <w:rPr>
          <w:rFonts w:hAnsi="宋体"/>
          <w:sz w:val="21"/>
          <w:szCs w:val="21"/>
        </w:rPr>
      </w:pPr>
      <w:r>
        <w:rPr>
          <w:rFonts w:hAnsi="宋体"/>
          <w:sz w:val="21"/>
          <w:szCs w:val="21"/>
        </w:rPr>
        <w:t>8</w:t>
      </w:r>
      <w:r>
        <w:rPr>
          <w:rFonts w:hint="eastAsia" w:hAnsi="宋体"/>
          <w:sz w:val="21"/>
          <w:szCs w:val="21"/>
        </w:rPr>
        <w:t>、招标过程做开标记录</w:t>
      </w:r>
      <w:r>
        <w:rPr>
          <w:rFonts w:hAnsi="宋体"/>
          <w:sz w:val="21"/>
          <w:szCs w:val="21"/>
        </w:rPr>
        <w:t xml:space="preserve">, </w:t>
      </w:r>
      <w:r>
        <w:rPr>
          <w:rFonts w:hint="eastAsia" w:hAnsi="宋体"/>
          <w:sz w:val="21"/>
          <w:szCs w:val="21"/>
        </w:rPr>
        <w:t>投标人代表对开标记录进行当场校核及勘误，并签字确认；同时由记录人、监督人当场签字确认。投标人代表未到场签字确认或者拒绝签字确认的，不影响评标过程。</w:t>
      </w:r>
    </w:p>
    <w:p>
      <w:pPr>
        <w:pStyle w:val="5"/>
        <w:snapToGrid w:val="0"/>
        <w:spacing w:before="156" w:line="360" w:lineRule="auto"/>
        <w:ind w:left="689" w:leftChars="228" w:hanging="210" w:hangingChars="100"/>
        <w:rPr>
          <w:rFonts w:hAnsi="宋体"/>
          <w:sz w:val="21"/>
          <w:szCs w:val="21"/>
        </w:rPr>
      </w:pPr>
      <w:r>
        <w:rPr>
          <w:rFonts w:hAnsi="宋体"/>
          <w:sz w:val="21"/>
          <w:szCs w:val="21"/>
        </w:rPr>
        <w:t>9.</w:t>
      </w:r>
      <w:r>
        <w:rPr>
          <w:rFonts w:hint="eastAsia" w:hAnsi="宋体"/>
          <w:sz w:val="21"/>
          <w:szCs w:val="21"/>
        </w:rPr>
        <w:t>开标会议结束。</w:t>
      </w:r>
    </w:p>
    <w:p>
      <w:pPr>
        <w:snapToGrid w:val="0"/>
        <w:spacing w:line="360" w:lineRule="auto"/>
        <w:ind w:firstLine="413" w:firstLineChars="196"/>
        <w:outlineLvl w:val="2"/>
        <w:rPr>
          <w:rFonts w:ascii="宋体"/>
          <w:b/>
          <w:szCs w:val="21"/>
        </w:rPr>
      </w:pPr>
      <w:r>
        <w:rPr>
          <w:rFonts w:hint="eastAsia" w:ascii="宋体" w:hAnsi="宋体"/>
          <w:b/>
          <w:szCs w:val="21"/>
        </w:rPr>
        <w:t>（三）其他事项</w:t>
      </w:r>
    </w:p>
    <w:p>
      <w:pPr>
        <w:pStyle w:val="5"/>
        <w:snapToGrid w:val="0"/>
        <w:spacing w:before="156" w:line="360" w:lineRule="auto"/>
        <w:ind w:firstLine="411" w:firstLineChars="196"/>
        <w:rPr>
          <w:rFonts w:hAnsi="宋体"/>
          <w:sz w:val="21"/>
          <w:szCs w:val="21"/>
        </w:rPr>
      </w:pPr>
      <w:r>
        <w:rPr>
          <w:rFonts w:hAnsi="宋体"/>
          <w:sz w:val="21"/>
          <w:szCs w:val="21"/>
        </w:rPr>
        <w:t xml:space="preserve">1. </w:t>
      </w:r>
      <w:r>
        <w:rPr>
          <w:rFonts w:hint="eastAsia" w:hAnsi="宋体"/>
          <w:sz w:val="21"/>
          <w:szCs w:val="21"/>
        </w:rPr>
        <w:t>招标人在招标文件要求提交投标文件的截止时间前收到的投标文件，开标时都应当当众予以拆封、宣读。</w:t>
      </w:r>
    </w:p>
    <w:p>
      <w:pPr>
        <w:pStyle w:val="5"/>
        <w:snapToGrid w:val="0"/>
        <w:spacing w:before="156" w:line="360" w:lineRule="auto"/>
        <w:ind w:firstLine="411" w:firstLineChars="196"/>
        <w:rPr>
          <w:rFonts w:hAnsi="宋体"/>
          <w:sz w:val="21"/>
          <w:szCs w:val="21"/>
        </w:rPr>
      </w:pPr>
      <w:r>
        <w:rPr>
          <w:rFonts w:hAnsi="宋体"/>
          <w:sz w:val="21"/>
          <w:szCs w:val="21"/>
        </w:rPr>
        <w:t xml:space="preserve">2. </w:t>
      </w:r>
      <w:r>
        <w:rPr>
          <w:rFonts w:hint="eastAsia" w:hAnsi="宋体"/>
          <w:sz w:val="21"/>
          <w:szCs w:val="21"/>
        </w:rPr>
        <w:t>招标人将对开标过程进行记录，并由招标人和投标人签字确认后存档备查。</w:t>
      </w:r>
    </w:p>
    <w:p>
      <w:pPr>
        <w:adjustRightInd w:val="0"/>
        <w:snapToGrid w:val="0"/>
        <w:spacing w:line="360" w:lineRule="auto"/>
        <w:ind w:firstLine="420" w:firstLineChars="200"/>
        <w:rPr>
          <w:rFonts w:ascii="宋体"/>
          <w:szCs w:val="21"/>
        </w:rPr>
      </w:pPr>
      <w:r>
        <w:rPr>
          <w:rFonts w:ascii="宋体" w:hAnsi="宋体"/>
          <w:szCs w:val="21"/>
        </w:rPr>
        <w:t>3</w:t>
      </w:r>
      <w:r>
        <w:rPr>
          <w:rFonts w:hint="eastAsia" w:ascii="宋体" w:hAnsi="宋体"/>
          <w:szCs w:val="21"/>
        </w:rPr>
        <w:t>．投标文件有下列情形之一的，招标人不予受理（原封退回）：</w:t>
      </w:r>
    </w:p>
    <w:p>
      <w:pPr>
        <w:adjustRightInd w:val="0"/>
        <w:snapToGrid w:val="0"/>
        <w:spacing w:line="360" w:lineRule="auto"/>
        <w:ind w:firstLine="420" w:firstLineChars="200"/>
        <w:rPr>
          <w:rFonts w:ascii="宋体"/>
          <w:szCs w:val="21"/>
        </w:rPr>
      </w:pPr>
      <w:r>
        <w:rPr>
          <w:rFonts w:ascii="宋体" w:hAnsi="宋体"/>
          <w:szCs w:val="21"/>
        </w:rPr>
        <w:t xml:space="preserve">  </w:t>
      </w:r>
      <w:r>
        <w:rPr>
          <w:rFonts w:hint="eastAsia" w:ascii="宋体" w:hAnsi="宋体"/>
          <w:szCs w:val="21"/>
        </w:rPr>
        <w:t>（</w:t>
      </w:r>
      <w:r>
        <w:rPr>
          <w:rFonts w:ascii="宋体" w:hAnsi="宋体"/>
          <w:szCs w:val="21"/>
        </w:rPr>
        <w:t>1</w:t>
      </w:r>
      <w:r>
        <w:rPr>
          <w:rFonts w:hint="eastAsia" w:ascii="宋体" w:hAnsi="宋体"/>
          <w:szCs w:val="21"/>
        </w:rPr>
        <w:t>）逾期送达的或者未送达指定地点的；</w:t>
      </w:r>
    </w:p>
    <w:p>
      <w:pPr>
        <w:adjustRightInd w:val="0"/>
        <w:snapToGrid w:val="0"/>
        <w:spacing w:line="360" w:lineRule="auto"/>
        <w:ind w:firstLine="420" w:firstLineChars="200"/>
        <w:rPr>
          <w:rFonts w:ascii="宋体"/>
          <w:szCs w:val="21"/>
        </w:rPr>
      </w:pPr>
      <w:r>
        <w:rPr>
          <w:rFonts w:ascii="宋体" w:hAnsi="宋体"/>
          <w:szCs w:val="21"/>
        </w:rPr>
        <w:t xml:space="preserve">  </w:t>
      </w:r>
      <w:r>
        <w:rPr>
          <w:rFonts w:hint="eastAsia" w:ascii="宋体" w:hAnsi="宋体"/>
          <w:szCs w:val="21"/>
        </w:rPr>
        <w:t>（</w:t>
      </w:r>
      <w:r>
        <w:rPr>
          <w:rFonts w:ascii="宋体" w:hAnsi="宋体"/>
          <w:szCs w:val="21"/>
        </w:rPr>
        <w:t>2</w:t>
      </w:r>
      <w:r>
        <w:rPr>
          <w:rFonts w:hint="eastAsia" w:ascii="宋体" w:hAnsi="宋体"/>
          <w:szCs w:val="21"/>
        </w:rPr>
        <w:t>）未按招标文件要求密封的；</w:t>
      </w:r>
    </w:p>
    <w:p>
      <w:pPr>
        <w:pStyle w:val="5"/>
        <w:snapToGrid w:val="0"/>
        <w:spacing w:before="156" w:line="360" w:lineRule="auto"/>
        <w:ind w:firstLine="411" w:firstLineChars="196"/>
        <w:rPr>
          <w:rFonts w:hAnsi="宋体"/>
          <w:sz w:val="21"/>
          <w:szCs w:val="21"/>
        </w:rPr>
      </w:pPr>
      <w:r>
        <w:rPr>
          <w:rFonts w:hAnsi="宋体"/>
          <w:sz w:val="21"/>
          <w:szCs w:val="21"/>
        </w:rPr>
        <w:t xml:space="preserve">  </w:t>
      </w:r>
      <w:r>
        <w:rPr>
          <w:rFonts w:hint="eastAsia" w:hAnsi="宋体"/>
          <w:sz w:val="21"/>
          <w:szCs w:val="21"/>
        </w:rPr>
        <w:t>（</w:t>
      </w:r>
      <w:r>
        <w:rPr>
          <w:rFonts w:hAnsi="宋体"/>
          <w:sz w:val="21"/>
          <w:szCs w:val="21"/>
        </w:rPr>
        <w:t>3</w:t>
      </w:r>
      <w:r>
        <w:rPr>
          <w:rFonts w:hint="eastAsia" w:hAnsi="宋体"/>
          <w:sz w:val="21"/>
          <w:szCs w:val="21"/>
        </w:rPr>
        <w:t>）参加开标的投标人代表不符合本须知规定的。</w:t>
      </w:r>
    </w:p>
    <w:p>
      <w:pPr>
        <w:pStyle w:val="5"/>
        <w:snapToGrid w:val="0"/>
        <w:spacing w:before="156" w:line="360" w:lineRule="auto"/>
        <w:ind w:left="630" w:hanging="630" w:hangingChars="300"/>
        <w:rPr>
          <w:rFonts w:hAnsi="宋体"/>
          <w:sz w:val="21"/>
          <w:szCs w:val="21"/>
        </w:rPr>
      </w:pPr>
    </w:p>
    <w:p>
      <w:pPr>
        <w:pStyle w:val="5"/>
        <w:snapToGrid w:val="0"/>
        <w:spacing w:before="156" w:line="360" w:lineRule="auto"/>
        <w:ind w:firstLine="422" w:firstLineChars="200"/>
        <w:rPr>
          <w:rFonts w:hAnsi="宋体"/>
          <w:b/>
          <w:sz w:val="21"/>
          <w:szCs w:val="21"/>
        </w:rPr>
      </w:pPr>
      <w:r>
        <w:rPr>
          <w:rFonts w:hint="eastAsia" w:hAnsi="宋体"/>
          <w:b/>
          <w:sz w:val="21"/>
          <w:szCs w:val="21"/>
        </w:rPr>
        <w:t>五、评标</w:t>
      </w:r>
    </w:p>
    <w:p>
      <w:pPr>
        <w:snapToGrid w:val="0"/>
        <w:spacing w:line="360" w:lineRule="auto"/>
        <w:ind w:firstLine="413" w:firstLineChars="196"/>
        <w:outlineLvl w:val="2"/>
        <w:rPr>
          <w:rFonts w:hAnsi="宋体"/>
          <w:szCs w:val="21"/>
        </w:rPr>
      </w:pPr>
      <w:r>
        <w:rPr>
          <w:rFonts w:hint="eastAsia" w:hAnsi="宋体"/>
          <w:b/>
          <w:szCs w:val="21"/>
        </w:rPr>
        <w:t>（一）评标会议</w:t>
      </w:r>
    </w:p>
    <w:p>
      <w:pPr>
        <w:pStyle w:val="5"/>
        <w:snapToGrid w:val="0"/>
        <w:spacing w:before="156" w:line="360" w:lineRule="auto"/>
        <w:ind w:firstLine="420" w:firstLineChars="200"/>
        <w:rPr>
          <w:rFonts w:hAnsi="宋体"/>
          <w:sz w:val="21"/>
          <w:szCs w:val="21"/>
        </w:rPr>
      </w:pPr>
      <w:r>
        <w:rPr>
          <w:rFonts w:hAnsi="宋体"/>
          <w:sz w:val="21"/>
          <w:szCs w:val="21"/>
        </w:rPr>
        <w:t>1.</w:t>
      </w:r>
      <w:r>
        <w:rPr>
          <w:rFonts w:hint="eastAsia" w:hAnsi="宋体"/>
          <w:sz w:val="21"/>
          <w:szCs w:val="21"/>
        </w:rPr>
        <w:t>开标会议结束后，召开评标会议，评标会议采用保密方式进行。评标由评标委员会负责。</w:t>
      </w:r>
    </w:p>
    <w:p>
      <w:pPr>
        <w:pStyle w:val="5"/>
        <w:snapToGrid w:val="0"/>
        <w:spacing w:before="156" w:line="360" w:lineRule="auto"/>
        <w:ind w:firstLine="420" w:firstLineChars="200"/>
        <w:rPr>
          <w:rFonts w:hAnsi="宋体"/>
          <w:sz w:val="21"/>
          <w:szCs w:val="21"/>
        </w:rPr>
      </w:pPr>
      <w:r>
        <w:rPr>
          <w:rFonts w:hAnsi="宋体"/>
          <w:sz w:val="21"/>
          <w:szCs w:val="21"/>
        </w:rPr>
        <w:t>2.</w:t>
      </w:r>
      <w:r>
        <w:rPr>
          <w:rFonts w:hint="eastAsia" w:hAnsi="宋体"/>
          <w:sz w:val="21"/>
          <w:szCs w:val="21"/>
        </w:rPr>
        <w:t>评标委员会由招标人依据有关规定组织（评标委员会由校方领导、教师代表、学校纪检委员组成）。</w:t>
      </w:r>
    </w:p>
    <w:p>
      <w:pPr>
        <w:snapToGrid w:val="0"/>
        <w:spacing w:line="360" w:lineRule="auto"/>
        <w:ind w:firstLine="413" w:firstLineChars="196"/>
        <w:outlineLvl w:val="2"/>
        <w:rPr>
          <w:rFonts w:hAnsi="宋体"/>
          <w:b/>
          <w:szCs w:val="21"/>
        </w:rPr>
      </w:pPr>
      <w:r>
        <w:rPr>
          <w:rFonts w:hint="eastAsia" w:hAnsi="宋体"/>
          <w:b/>
          <w:szCs w:val="21"/>
        </w:rPr>
        <w:t>（二）评标过程的保密</w:t>
      </w:r>
    </w:p>
    <w:p>
      <w:pPr>
        <w:adjustRightInd w:val="0"/>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公开开标后，直到授予中标人合同为止，凡属于对投标文件的审查、澄清、评价和比较的有关资料以及中标候选人的推荐情况、与评标有关的其他任何情况均应严格保密；</w:t>
      </w:r>
    </w:p>
    <w:p>
      <w:pPr>
        <w:adjustRightInd w:val="0"/>
        <w:snapToGrid w:val="0"/>
        <w:spacing w:line="360" w:lineRule="auto"/>
        <w:ind w:firstLine="420" w:firstLineChars="200"/>
        <w:rPr>
          <w:rFonts w:ascii="宋体"/>
          <w:szCs w:val="21"/>
        </w:rPr>
      </w:pPr>
      <w:r>
        <w:rPr>
          <w:rFonts w:ascii="宋体" w:hAnsi="宋体"/>
          <w:szCs w:val="21"/>
        </w:rPr>
        <w:t>2.</w:t>
      </w:r>
      <w:r>
        <w:rPr>
          <w:rFonts w:hint="eastAsia" w:ascii="宋体" w:hAnsi="宋体"/>
          <w:szCs w:val="21"/>
        </w:rPr>
        <w:t>在投标文件的评审和比较、中标候选人推荐以及授予合同的过程中，投标人如试图向招标人和评标委员会施加影响的任何行为，都将会导致其投标被拒绝；</w:t>
      </w:r>
    </w:p>
    <w:p>
      <w:pPr>
        <w:adjustRightInd w:val="0"/>
        <w:snapToGrid w:val="0"/>
        <w:spacing w:line="360" w:lineRule="auto"/>
        <w:ind w:firstLine="420" w:firstLineChars="200"/>
        <w:rPr>
          <w:rFonts w:ascii="宋体"/>
          <w:szCs w:val="21"/>
        </w:rPr>
      </w:pPr>
      <w:r>
        <w:rPr>
          <w:rFonts w:ascii="宋体" w:hAnsi="宋体"/>
          <w:szCs w:val="21"/>
        </w:rPr>
        <w:t>3.</w:t>
      </w:r>
      <w:r>
        <w:rPr>
          <w:rFonts w:hint="eastAsia" w:ascii="宋体" w:hAnsi="宋体"/>
          <w:szCs w:val="21"/>
        </w:rPr>
        <w:t>合同授予后，招标人不对未中标人就评标情况以及未能中标原因作任何解释。未中标人不得向评委或其他有关人员处获取评标过程的情况和材料。</w:t>
      </w:r>
    </w:p>
    <w:p>
      <w:pPr>
        <w:snapToGrid w:val="0"/>
        <w:spacing w:line="360" w:lineRule="auto"/>
        <w:ind w:firstLine="413" w:firstLineChars="196"/>
        <w:outlineLvl w:val="2"/>
        <w:rPr>
          <w:rFonts w:ascii="宋体"/>
          <w:b/>
          <w:szCs w:val="21"/>
        </w:rPr>
      </w:pPr>
      <w:r>
        <w:rPr>
          <w:rFonts w:hint="eastAsia" w:ascii="宋体" w:hAnsi="宋体"/>
          <w:b/>
          <w:szCs w:val="21"/>
        </w:rPr>
        <w:t>（三）投标文件的澄清</w:t>
      </w:r>
    </w:p>
    <w:p>
      <w:pPr>
        <w:snapToGrid w:val="0"/>
        <w:spacing w:line="360" w:lineRule="auto"/>
        <w:ind w:firstLine="420" w:firstLineChars="200"/>
        <w:rPr>
          <w:rFonts w:ascii="宋体"/>
          <w:szCs w:val="21"/>
        </w:rPr>
      </w:pPr>
      <w:r>
        <w:rPr>
          <w:rFonts w:hint="eastAsia" w:ascii="宋体" w:hAnsi="宋体"/>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但不得超出投标文件的范围或者改变投标文件的实质性内容。</w:t>
      </w:r>
    </w:p>
    <w:p>
      <w:pPr>
        <w:snapToGrid w:val="0"/>
        <w:spacing w:line="360" w:lineRule="auto"/>
        <w:ind w:firstLine="413" w:firstLineChars="196"/>
        <w:outlineLvl w:val="2"/>
        <w:rPr>
          <w:rFonts w:hAnsi="宋体"/>
          <w:b/>
          <w:szCs w:val="21"/>
        </w:rPr>
      </w:pPr>
      <w:r>
        <w:rPr>
          <w:rFonts w:hint="eastAsia" w:hAnsi="宋体"/>
          <w:b/>
          <w:szCs w:val="21"/>
        </w:rPr>
        <w:t>（四）错误的修正</w:t>
      </w:r>
    </w:p>
    <w:p>
      <w:pPr>
        <w:pStyle w:val="5"/>
        <w:snapToGrid w:val="0"/>
        <w:spacing w:before="156" w:line="360" w:lineRule="auto"/>
        <w:ind w:firstLine="411" w:firstLineChars="196"/>
        <w:rPr>
          <w:rFonts w:hAnsi="宋体"/>
          <w:b/>
          <w:sz w:val="21"/>
          <w:szCs w:val="21"/>
        </w:rPr>
      </w:pPr>
      <w:r>
        <w:rPr>
          <w:rFonts w:hAnsi="宋体"/>
          <w:sz w:val="21"/>
          <w:szCs w:val="21"/>
        </w:rPr>
        <w:t>1.</w:t>
      </w:r>
      <w:r>
        <w:rPr>
          <w:rFonts w:hint="eastAsia" w:hAnsi="宋体"/>
          <w:sz w:val="21"/>
          <w:szCs w:val="21"/>
        </w:rPr>
        <w:t>评标委员会将对确定为实质上响应招标文件要求的投标文件进行校核，看其是否有计算上、累计上或表达上的错误，修正原则如下：</w:t>
      </w:r>
    </w:p>
    <w:p>
      <w:pPr>
        <w:pStyle w:val="5"/>
        <w:snapToGrid w:val="0"/>
        <w:spacing w:before="156" w:line="360" w:lineRule="auto"/>
        <w:ind w:firstLine="411" w:firstLineChars="196"/>
        <w:rPr>
          <w:rFonts w:hAnsi="宋体"/>
          <w:b/>
          <w:sz w:val="21"/>
          <w:szCs w:val="21"/>
        </w:rPr>
      </w:pPr>
      <w:r>
        <w:rPr>
          <w:rFonts w:hint="eastAsia" w:hAnsi="宋体"/>
          <w:sz w:val="21"/>
          <w:szCs w:val="21"/>
        </w:rPr>
        <w:t>（</w:t>
      </w:r>
      <w:r>
        <w:rPr>
          <w:rFonts w:hAnsi="宋体"/>
          <w:sz w:val="21"/>
          <w:szCs w:val="21"/>
        </w:rPr>
        <w:t>1</w:t>
      </w:r>
      <w:r>
        <w:rPr>
          <w:rFonts w:hint="eastAsia" w:hAnsi="宋体"/>
          <w:sz w:val="21"/>
          <w:szCs w:val="21"/>
        </w:rPr>
        <w:t>）如果数字表示的金额和用文字表示的金额不一致时，应以文字表示的金额为准；</w:t>
      </w:r>
    </w:p>
    <w:p>
      <w:pPr>
        <w:pStyle w:val="5"/>
        <w:snapToGrid w:val="0"/>
        <w:spacing w:before="156" w:line="360" w:lineRule="auto"/>
        <w:ind w:firstLine="411" w:firstLineChars="196"/>
        <w:rPr>
          <w:rFonts w:hAnsi="宋体"/>
          <w:b/>
          <w:sz w:val="21"/>
          <w:szCs w:val="21"/>
        </w:rPr>
      </w:pPr>
      <w:r>
        <w:rPr>
          <w:rFonts w:hint="eastAsia" w:hAnsi="宋体"/>
          <w:sz w:val="21"/>
          <w:szCs w:val="21"/>
        </w:rPr>
        <w:t>（</w:t>
      </w:r>
      <w:r>
        <w:rPr>
          <w:rFonts w:hAnsi="宋体"/>
          <w:sz w:val="21"/>
          <w:szCs w:val="21"/>
        </w:rPr>
        <w:t>2</w:t>
      </w:r>
      <w:r>
        <w:rPr>
          <w:rFonts w:hint="eastAsia" w:hAnsi="宋体"/>
          <w:sz w:val="21"/>
          <w:szCs w:val="21"/>
        </w:rPr>
        <w:t>）当单价与数量的乘积与合价不一致时，以单价为准，除非评标委员会认为单价有明显的小数点错误，此时应以标出的合价为准，并修改单价。</w:t>
      </w:r>
    </w:p>
    <w:p>
      <w:pPr>
        <w:pStyle w:val="5"/>
        <w:snapToGrid w:val="0"/>
        <w:spacing w:before="156" w:line="360" w:lineRule="auto"/>
        <w:ind w:firstLine="422" w:firstLineChars="200"/>
        <w:rPr>
          <w:rFonts w:hAnsi="宋体"/>
          <w:b/>
          <w:sz w:val="21"/>
          <w:szCs w:val="21"/>
        </w:rPr>
      </w:pPr>
      <w:r>
        <w:rPr>
          <w:rFonts w:hint="eastAsia" w:hAnsi="宋体"/>
          <w:b/>
          <w:sz w:val="21"/>
          <w:szCs w:val="21"/>
        </w:rPr>
        <w:t>六、中标及合同授予</w:t>
      </w:r>
    </w:p>
    <w:p>
      <w:pPr>
        <w:snapToGrid w:val="0"/>
        <w:spacing w:line="360" w:lineRule="auto"/>
        <w:ind w:firstLine="413" w:firstLineChars="196"/>
        <w:outlineLvl w:val="2"/>
        <w:rPr>
          <w:rFonts w:hAnsi="宋体"/>
          <w:b/>
          <w:szCs w:val="21"/>
        </w:rPr>
      </w:pPr>
      <w:r>
        <w:rPr>
          <w:rFonts w:hint="eastAsia" w:hAnsi="宋体"/>
          <w:b/>
          <w:szCs w:val="21"/>
        </w:rPr>
        <w:t>（一）确定中标人的原则</w:t>
      </w:r>
    </w:p>
    <w:p>
      <w:pPr>
        <w:pStyle w:val="5"/>
        <w:snapToGrid w:val="0"/>
        <w:spacing w:before="156" w:line="360" w:lineRule="auto"/>
        <w:ind w:firstLine="420" w:firstLineChars="200"/>
        <w:rPr>
          <w:rFonts w:hAnsi="宋体"/>
          <w:b/>
          <w:sz w:val="21"/>
          <w:szCs w:val="21"/>
        </w:rPr>
      </w:pPr>
      <w:r>
        <w:rPr>
          <w:rFonts w:hint="eastAsia" w:hAnsi="宋体"/>
          <w:sz w:val="21"/>
          <w:szCs w:val="21"/>
        </w:rPr>
        <w:t>评标委员会按照招标文件所规定的评标程序和评标办法对各投标人投标文件进行评审，推荐综合评审得分最高的投标人作为第一中标候选人，综合评审得分次高的投标人作为备选中标候选人。</w:t>
      </w:r>
    </w:p>
    <w:p>
      <w:pPr>
        <w:pStyle w:val="5"/>
        <w:snapToGrid w:val="0"/>
        <w:spacing w:before="156" w:line="360" w:lineRule="auto"/>
        <w:ind w:firstLine="420" w:firstLineChars="200"/>
        <w:rPr>
          <w:rFonts w:hAnsi="宋体"/>
          <w:sz w:val="21"/>
          <w:szCs w:val="21"/>
        </w:rPr>
      </w:pPr>
      <w:r>
        <w:rPr>
          <w:rFonts w:hint="eastAsia" w:hAnsi="宋体"/>
          <w:sz w:val="21"/>
          <w:szCs w:val="21"/>
        </w:rPr>
        <w:t>。</w:t>
      </w:r>
    </w:p>
    <w:p>
      <w:pPr>
        <w:snapToGrid w:val="0"/>
        <w:spacing w:line="360" w:lineRule="auto"/>
        <w:ind w:firstLine="413" w:firstLineChars="196"/>
        <w:outlineLvl w:val="2"/>
        <w:rPr>
          <w:rFonts w:hAnsi="宋体"/>
          <w:b/>
          <w:szCs w:val="21"/>
        </w:rPr>
      </w:pPr>
      <w:r>
        <w:rPr>
          <w:rFonts w:hint="eastAsia" w:hAnsi="宋体"/>
          <w:b/>
          <w:szCs w:val="21"/>
        </w:rPr>
        <w:t>（三）签订合同</w:t>
      </w:r>
    </w:p>
    <w:p>
      <w:pPr>
        <w:pStyle w:val="5"/>
        <w:snapToGrid w:val="0"/>
        <w:spacing w:before="156" w:line="360" w:lineRule="auto"/>
        <w:ind w:firstLine="420" w:firstLineChars="200"/>
        <w:rPr>
          <w:rFonts w:hAnsi="宋体"/>
          <w:sz w:val="21"/>
          <w:szCs w:val="21"/>
        </w:rPr>
      </w:pPr>
      <w:r>
        <w:rPr>
          <w:rFonts w:hAnsi="宋体"/>
          <w:sz w:val="21"/>
          <w:szCs w:val="21"/>
        </w:rPr>
        <w:t>1.</w:t>
      </w:r>
      <w:r>
        <w:rPr>
          <w:rFonts w:hint="eastAsia" w:hAnsi="宋体"/>
          <w:sz w:val="21"/>
          <w:szCs w:val="21"/>
        </w:rPr>
        <w:t>中标人应按中标通知书规定的时间、地点与招标人签订供货合同，并提交履约保证金。</w:t>
      </w:r>
    </w:p>
    <w:p>
      <w:pPr>
        <w:pStyle w:val="5"/>
        <w:snapToGrid w:val="0"/>
        <w:spacing w:before="156" w:line="360" w:lineRule="auto"/>
        <w:ind w:firstLine="420" w:firstLineChars="200"/>
        <w:rPr>
          <w:rFonts w:hAnsi="宋体"/>
          <w:sz w:val="21"/>
          <w:szCs w:val="21"/>
        </w:rPr>
      </w:pPr>
      <w:r>
        <w:rPr>
          <w:rFonts w:hAnsi="宋体"/>
          <w:sz w:val="21"/>
          <w:szCs w:val="21"/>
        </w:rPr>
        <w:t>2.</w:t>
      </w:r>
      <w:r>
        <w:rPr>
          <w:rFonts w:hint="eastAsia" w:hAnsi="宋体"/>
          <w:sz w:val="21"/>
          <w:szCs w:val="21"/>
        </w:rPr>
        <w:t>投标文件、书面承诺文件、最终报价、中标通知书及其澄清文件等，均为签订供货合同的依据。</w:t>
      </w:r>
    </w:p>
    <w:p>
      <w:pPr>
        <w:pStyle w:val="5"/>
        <w:snapToGrid w:val="0"/>
        <w:spacing w:before="156" w:line="360" w:lineRule="auto"/>
        <w:ind w:firstLine="420" w:firstLineChars="200"/>
        <w:rPr>
          <w:rFonts w:hAnsi="宋体"/>
          <w:sz w:val="21"/>
          <w:szCs w:val="21"/>
        </w:rPr>
      </w:pPr>
      <w:r>
        <w:rPr>
          <w:rFonts w:hAnsi="宋体"/>
          <w:sz w:val="21"/>
          <w:szCs w:val="21"/>
        </w:rPr>
        <w:t>3.</w:t>
      </w:r>
      <w:r>
        <w:rPr>
          <w:rFonts w:hint="eastAsia" w:hAnsi="宋体"/>
          <w:sz w:val="21"/>
          <w:szCs w:val="21"/>
        </w:rPr>
        <w:t>拒签合同的责任。中标人接到中标通知书后，在规定时间内借故否认已经承诺的条件而拒签合同或拒交履约保证金者，以违约处理，其投标保证金不予退回。中标人承担由此造成的直接经济损失，招标人保留向其索赔的权力。</w:t>
      </w:r>
    </w:p>
    <w:p>
      <w:pPr>
        <w:pStyle w:val="5"/>
        <w:snapToGrid w:val="0"/>
        <w:spacing w:before="156" w:line="360" w:lineRule="auto"/>
        <w:ind w:firstLine="420" w:firstLineChars="200"/>
        <w:rPr>
          <w:rFonts w:hAnsi="宋体"/>
          <w:b/>
          <w:sz w:val="21"/>
          <w:szCs w:val="21"/>
        </w:rPr>
      </w:pPr>
      <w:r>
        <w:rPr>
          <w:rFonts w:hAnsi="宋体"/>
          <w:sz w:val="21"/>
          <w:szCs w:val="21"/>
        </w:rPr>
        <w:t>4.</w:t>
      </w:r>
      <w:r>
        <w:rPr>
          <w:rFonts w:hint="eastAsia" w:hAnsi="宋体"/>
          <w:sz w:val="21"/>
          <w:szCs w:val="21"/>
        </w:rPr>
        <w:t>签订合同后，中标人不得将本项目进行转包。未经招标人同意，中标人不得采用分包的形式履行合同；否则，招标人有权终止合同，中标人的履约保证金不予退还。转包或分包造成招标人损失的，中标人还应承担相应的赔偿责任。</w:t>
      </w:r>
    </w:p>
    <w:p>
      <w:pPr>
        <w:pStyle w:val="5"/>
        <w:snapToGrid w:val="0"/>
        <w:spacing w:before="156" w:line="360" w:lineRule="auto"/>
        <w:ind w:firstLine="420" w:firstLineChars="200"/>
        <w:rPr>
          <w:rFonts w:hAnsi="宋体"/>
          <w:sz w:val="21"/>
          <w:szCs w:val="21"/>
        </w:rPr>
      </w:pPr>
    </w:p>
    <w:p>
      <w:pPr>
        <w:pStyle w:val="5"/>
        <w:snapToGrid w:val="0"/>
        <w:spacing w:before="156" w:line="360" w:lineRule="auto"/>
        <w:ind w:firstLine="422" w:firstLineChars="200"/>
        <w:rPr>
          <w:rFonts w:hAnsi="宋体"/>
          <w:sz w:val="21"/>
          <w:szCs w:val="21"/>
        </w:rPr>
      </w:pPr>
      <w:r>
        <w:rPr>
          <w:rFonts w:hint="eastAsia" w:hAnsi="宋体"/>
          <w:b/>
          <w:sz w:val="21"/>
          <w:szCs w:val="21"/>
        </w:rPr>
        <w:t>七、特别说明：</w:t>
      </w:r>
      <w:r>
        <w:rPr>
          <w:rFonts w:hint="eastAsia" w:hAnsi="宋体"/>
          <w:sz w:val="21"/>
          <w:szCs w:val="21"/>
        </w:rPr>
        <w:t>本项目如报名投标人或实际满足招标要求的供应商数量不足</w:t>
      </w:r>
      <w:r>
        <w:rPr>
          <w:rFonts w:hAnsi="宋体"/>
          <w:sz w:val="21"/>
          <w:szCs w:val="21"/>
        </w:rPr>
        <w:t>3</w:t>
      </w:r>
      <w:r>
        <w:rPr>
          <w:rFonts w:hint="eastAsia" w:hAnsi="宋体"/>
          <w:sz w:val="21"/>
          <w:szCs w:val="21"/>
        </w:rPr>
        <w:t>家时，招标人将根据需要向杭州市拱墅区财政局采监处提出申请，经同意后可继续开标或改为竞争性谈判等其他方式采购。</w:t>
      </w:r>
    </w:p>
    <w:p>
      <w:pPr>
        <w:pStyle w:val="5"/>
        <w:snapToGrid w:val="0"/>
        <w:spacing w:before="156" w:line="360" w:lineRule="auto"/>
        <w:rPr>
          <w:rFonts w:hAnsi="宋体"/>
          <w:sz w:val="21"/>
          <w:szCs w:val="21"/>
        </w:rPr>
      </w:pPr>
    </w:p>
    <w:p>
      <w:pPr>
        <w:pStyle w:val="5"/>
        <w:snapToGrid w:val="0"/>
        <w:spacing w:before="156" w:line="360" w:lineRule="auto"/>
        <w:ind w:firstLine="422" w:firstLineChars="200"/>
        <w:rPr>
          <w:rFonts w:hAnsi="宋体"/>
          <w:b/>
          <w:sz w:val="21"/>
          <w:szCs w:val="21"/>
        </w:rPr>
      </w:pPr>
      <w:r>
        <w:rPr>
          <w:rFonts w:hint="eastAsia" w:hAnsi="宋体"/>
          <w:b/>
          <w:sz w:val="21"/>
          <w:szCs w:val="21"/>
        </w:rPr>
        <w:t>八、其他事宜</w:t>
      </w:r>
    </w:p>
    <w:p>
      <w:pPr>
        <w:pStyle w:val="5"/>
        <w:snapToGrid w:val="0"/>
        <w:spacing w:before="156" w:line="360" w:lineRule="auto"/>
        <w:ind w:firstLine="405"/>
        <w:rPr>
          <w:rFonts w:hAnsi="宋体"/>
          <w:sz w:val="21"/>
          <w:szCs w:val="21"/>
        </w:rPr>
      </w:pPr>
      <w:r>
        <w:rPr>
          <w:rFonts w:hint="eastAsia" w:hAnsi="宋体"/>
          <w:sz w:val="21"/>
          <w:szCs w:val="21"/>
        </w:rPr>
        <w:t>本项目采购招标文件未尽事宜按照国家法律法规和省市区有关规定办理。</w:t>
      </w:r>
    </w:p>
    <w:p>
      <w:pPr>
        <w:pStyle w:val="11"/>
      </w:pPr>
      <w:bookmarkStart w:id="6" w:name="_Toc416249141"/>
      <w:r>
        <w:rPr>
          <w:rFonts w:ascii="宋体" w:eastAsia="宋体" w:cs="宋体"/>
        </w:rPr>
        <w:br w:type="page"/>
      </w:r>
      <w:r>
        <w:rPr>
          <w:rFonts w:hint="eastAsia" w:ascii="宋体" w:hAnsi="宋体" w:cs="宋体"/>
        </w:rPr>
        <w:t>第四章</w:t>
      </w:r>
      <w:r>
        <w:rPr>
          <w:rFonts w:cs="Cambria"/>
        </w:rPr>
        <w:t xml:space="preserve">  </w:t>
      </w:r>
      <w:r>
        <w:rPr>
          <w:rFonts w:hint="eastAsia" w:ascii="宋体" w:hAnsi="宋体" w:cs="宋体"/>
        </w:rPr>
        <w:t>评标办法及评分标准</w:t>
      </w:r>
      <w:bookmarkEnd w:id="6"/>
    </w:p>
    <w:p>
      <w:pPr>
        <w:widowControl/>
        <w:snapToGrid w:val="0"/>
        <w:spacing w:line="360" w:lineRule="auto"/>
        <w:ind w:firstLine="456"/>
        <w:jc w:val="left"/>
        <w:rPr>
          <w:rFonts w:ascii="宋体" w:cs="宋体"/>
          <w:kern w:val="0"/>
          <w:szCs w:val="21"/>
        </w:rPr>
      </w:pPr>
      <w:r>
        <w:rPr>
          <w:rFonts w:hint="eastAsia" w:ascii="宋体" w:hAnsi="宋体" w:cs="宋体"/>
          <w:kern w:val="0"/>
          <w:szCs w:val="21"/>
        </w:rPr>
        <w:t>根据《中华人民共和国政府采购法》、《中华人民共和国招标投标法》等有关法律，结合本次采购索要招标货物的实际，按照公平、公正、科学、择优的原则选择中标单位，特制订本评审办法。</w:t>
      </w:r>
    </w:p>
    <w:p>
      <w:pPr>
        <w:widowControl/>
        <w:snapToGrid w:val="0"/>
        <w:spacing w:line="360" w:lineRule="auto"/>
        <w:ind w:firstLine="456"/>
        <w:jc w:val="left"/>
        <w:rPr>
          <w:rFonts w:ascii="宋体" w:cs="宋体"/>
          <w:b/>
          <w:bCs/>
          <w:kern w:val="0"/>
          <w:szCs w:val="21"/>
        </w:rPr>
      </w:pPr>
      <w:r>
        <w:rPr>
          <w:rFonts w:hint="eastAsia" w:ascii="宋体" w:hAnsi="宋体" w:cs="宋体"/>
          <w:b/>
          <w:bCs/>
          <w:kern w:val="0"/>
          <w:szCs w:val="21"/>
        </w:rPr>
        <w:t>一、评标委员会</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评标委员会依法由</w:t>
      </w:r>
      <w:r>
        <w:rPr>
          <w:rFonts w:ascii="宋体" w:hAnsi="宋体" w:cs="宋体"/>
          <w:kern w:val="0"/>
          <w:szCs w:val="21"/>
        </w:rPr>
        <w:t>5</w:t>
      </w:r>
      <w:r>
        <w:rPr>
          <w:rFonts w:hint="eastAsia" w:ascii="宋体" w:hAnsi="宋体" w:cs="宋体"/>
          <w:kern w:val="0"/>
          <w:szCs w:val="21"/>
        </w:rPr>
        <w:t>人或</w:t>
      </w:r>
      <w:r>
        <w:rPr>
          <w:rFonts w:ascii="宋体" w:hAnsi="宋体" w:cs="宋体"/>
          <w:kern w:val="0"/>
          <w:szCs w:val="21"/>
        </w:rPr>
        <w:t>5</w:t>
      </w:r>
      <w:r>
        <w:rPr>
          <w:rFonts w:hint="eastAsia" w:ascii="宋体" w:hAnsi="宋体" w:cs="宋体"/>
          <w:kern w:val="0"/>
          <w:szCs w:val="21"/>
        </w:rPr>
        <w:t>人以上的单数人员组成，</w:t>
      </w:r>
      <w:r>
        <w:rPr>
          <w:rFonts w:hint="eastAsia"/>
        </w:rPr>
        <w:t>其中以校领导、学校老师、纪检委员组成评标委员会。</w:t>
      </w:r>
      <w:r>
        <w:rPr>
          <w:rFonts w:hint="eastAsia" w:ascii="宋体" w:hAnsi="宋体" w:cs="宋体"/>
          <w:kern w:val="0"/>
          <w:szCs w:val="21"/>
        </w:rPr>
        <w:t>评标委员会对投标文件进行审查、质疑、评估和比较。</w:t>
      </w:r>
    </w:p>
    <w:p>
      <w:pPr>
        <w:widowControl/>
        <w:snapToGrid w:val="0"/>
        <w:spacing w:line="360" w:lineRule="auto"/>
        <w:ind w:firstLine="456"/>
        <w:jc w:val="left"/>
        <w:rPr>
          <w:rFonts w:ascii="宋体" w:cs="宋体"/>
          <w:b/>
          <w:bCs/>
          <w:kern w:val="0"/>
          <w:szCs w:val="21"/>
        </w:rPr>
      </w:pPr>
      <w:r>
        <w:rPr>
          <w:rFonts w:hint="eastAsia" w:ascii="宋体" w:hAnsi="宋体" w:cs="宋体"/>
          <w:b/>
          <w:bCs/>
          <w:kern w:val="0"/>
          <w:szCs w:val="21"/>
        </w:rPr>
        <w:t>二、评标原则与方法</w:t>
      </w:r>
    </w:p>
    <w:p>
      <w:pPr>
        <w:widowControl/>
        <w:snapToGrid w:val="0"/>
        <w:spacing w:line="360" w:lineRule="auto"/>
        <w:ind w:firstLine="456"/>
        <w:jc w:val="left"/>
        <w:rPr>
          <w:rFonts w:ascii="宋体" w:cs="宋体"/>
          <w:b/>
          <w:bCs/>
          <w:kern w:val="0"/>
          <w:szCs w:val="21"/>
        </w:rPr>
      </w:pPr>
      <w:r>
        <w:rPr>
          <w:rFonts w:hint="eastAsia" w:ascii="宋体" w:hAnsi="宋体" w:cs="宋体"/>
          <w:kern w:val="0"/>
          <w:szCs w:val="21"/>
        </w:rPr>
        <w:t>本采购项目评标采用综合评分法。</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一）评标委员会将遵循公开、公平、公正的原则，按照招标文件规定的评标办法（附后）记名并独立评分，按综合得分从高到低依次排序，若有相同的得分，则其中投标总价低的投标人将被排序在前。综合得分排序最前两名推荐为中标候选人和备选中标候选人，推荐综合得分排序第一名为中标候选人，综合得分排序第二名为备选中标候选人。</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中标结果公示后无异议由招标人根据国家法律法规和现行政策进行决标，由招标人确认</w:t>
      </w:r>
      <w:r>
        <w:rPr>
          <w:rFonts w:ascii="宋体" w:hAnsi="宋体" w:cs="宋体"/>
          <w:kern w:val="0"/>
          <w:szCs w:val="21"/>
        </w:rPr>
        <w:t xml:space="preserve">1 </w:t>
      </w:r>
      <w:r>
        <w:rPr>
          <w:rFonts w:hint="eastAsia" w:ascii="宋体" w:hAnsi="宋体" w:cs="宋体"/>
          <w:kern w:val="0"/>
          <w:szCs w:val="21"/>
        </w:rPr>
        <w:t>名中标人。</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（二）评标委员会客观、公正的对待所有投标人，对所有投标评价，均采用相同的程序和标准。</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（三）在开标、投标期间，投标人不得向评标委员会成员询问评标情况，不得进行旨在影响评标结果的活动，否则将废除其投标资格。</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（四）在评标过程中，评标成员不得与投标人私下交换意见，在招标工作结束后，凡与评标情况有接触的人不得将评标情况扩散出评标成员之外。</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（五）招标代理公司不向落标方解释落标原因，不退还投标文件。</w:t>
      </w:r>
    </w:p>
    <w:p>
      <w:pPr>
        <w:widowControl/>
        <w:snapToGrid w:val="0"/>
        <w:spacing w:line="360" w:lineRule="auto"/>
        <w:ind w:firstLine="456"/>
        <w:jc w:val="left"/>
        <w:rPr>
          <w:rFonts w:ascii="宋体" w:cs="宋体"/>
          <w:b/>
          <w:bCs/>
          <w:kern w:val="0"/>
          <w:szCs w:val="21"/>
        </w:rPr>
      </w:pPr>
      <w:r>
        <w:rPr>
          <w:rFonts w:hint="eastAsia" w:ascii="宋体" w:hAnsi="宋体" w:cs="宋体"/>
          <w:kern w:val="0"/>
          <w:szCs w:val="21"/>
        </w:rPr>
        <w:t>三、</w:t>
      </w:r>
      <w:r>
        <w:rPr>
          <w:rFonts w:hint="eastAsia" w:ascii="宋体" w:hAnsi="宋体" w:cs="宋体"/>
          <w:b/>
          <w:bCs/>
          <w:kern w:val="0"/>
          <w:szCs w:val="21"/>
        </w:rPr>
        <w:t>评审程序</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（一）初步评审</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（二）符合性评审</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（三）投标文件的澄清</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（四）详细评审</w:t>
      </w:r>
    </w:p>
    <w:p>
      <w:pPr>
        <w:widowControl/>
        <w:snapToGrid w:val="0"/>
        <w:spacing w:line="360" w:lineRule="auto"/>
        <w:ind w:firstLine="456"/>
        <w:jc w:val="left"/>
        <w:rPr>
          <w:rFonts w:ascii="宋体" w:cs="宋体"/>
          <w:b/>
          <w:bCs/>
          <w:kern w:val="0"/>
          <w:szCs w:val="21"/>
        </w:rPr>
      </w:pPr>
      <w:r>
        <w:rPr>
          <w:rFonts w:hint="eastAsia" w:ascii="宋体" w:hAnsi="宋体" w:cs="宋体"/>
          <w:b/>
          <w:bCs/>
          <w:kern w:val="0"/>
          <w:szCs w:val="21"/>
        </w:rPr>
        <w:t>四、评标细则</w:t>
      </w:r>
    </w:p>
    <w:p>
      <w:pPr>
        <w:widowControl/>
        <w:snapToGrid w:val="0"/>
        <w:spacing w:line="360" w:lineRule="auto"/>
        <w:ind w:firstLine="456"/>
        <w:jc w:val="left"/>
        <w:rPr>
          <w:rFonts w:ascii="宋体" w:cs="宋体"/>
          <w:b/>
          <w:bCs/>
          <w:kern w:val="0"/>
          <w:szCs w:val="21"/>
        </w:rPr>
      </w:pPr>
      <w:r>
        <w:rPr>
          <w:rFonts w:hint="eastAsia" w:ascii="宋体" w:hAnsi="宋体" w:cs="宋体"/>
          <w:b/>
          <w:bCs/>
          <w:kern w:val="0"/>
          <w:szCs w:val="21"/>
        </w:rPr>
        <w:t>（一）初步评审</w:t>
      </w:r>
    </w:p>
    <w:p>
      <w:pPr>
        <w:widowControl/>
        <w:snapToGrid w:val="0"/>
        <w:spacing w:line="360" w:lineRule="auto"/>
        <w:ind w:firstLine="456"/>
        <w:rPr>
          <w:rFonts w:ascii="宋体" w:cs="宋体"/>
          <w:kern w:val="0"/>
          <w:szCs w:val="21"/>
        </w:rPr>
      </w:pPr>
      <w:r>
        <w:rPr>
          <w:rFonts w:ascii="宋体" w:hAnsi="宋体" w:cs="宋体"/>
          <w:kern w:val="0"/>
          <w:szCs w:val="21"/>
        </w:rPr>
        <w:t>1</w:t>
      </w:r>
      <w:r>
        <w:rPr>
          <w:rFonts w:hint="eastAsia" w:ascii="宋体" w:hAnsi="宋体" w:cs="宋体"/>
          <w:kern w:val="0"/>
          <w:szCs w:val="21"/>
        </w:rPr>
        <w:t>、评标委员会将按照招标文件投标须知“投标人的资格要求”规定对投标人进行资格审查，以确定是否为符合招标文件规定要求的合格投标人。同时，评标委员会将依据投标人提供的资格证明文件审查投标人的法人资格、营业范围、财务、技术和生产能力，以确定投标人是否有资格履行合同。</w:t>
      </w:r>
    </w:p>
    <w:p>
      <w:pPr>
        <w:widowControl/>
        <w:snapToGrid w:val="0"/>
        <w:spacing w:line="360" w:lineRule="auto"/>
        <w:ind w:firstLine="456"/>
        <w:rPr>
          <w:rFonts w:ascii="宋体" w:cs="宋体"/>
          <w:kern w:val="0"/>
          <w:szCs w:val="21"/>
        </w:rPr>
      </w:pPr>
      <w:r>
        <w:rPr>
          <w:rFonts w:ascii="宋体" w:hAnsi="宋体" w:cs="宋体"/>
          <w:kern w:val="0"/>
          <w:szCs w:val="21"/>
        </w:rPr>
        <w:t>2</w:t>
      </w:r>
      <w:r>
        <w:rPr>
          <w:rFonts w:hint="eastAsia" w:ascii="宋体" w:hAnsi="宋体" w:cs="宋体"/>
          <w:kern w:val="0"/>
          <w:szCs w:val="21"/>
        </w:rPr>
        <w:t>、评标委员会根据招标文件投标须知“无效投标”的规定对投标人进行审查，确定投标人是否实质性响应招标文件要求。评标委员会根据法律法规和招标文件的规定，检查投标文件提供的资格证明文件是否齐全、是否满足招标文件的要求、投标保证金是否提交、投标文件是否装订编排有序等。</w:t>
      </w:r>
    </w:p>
    <w:p>
      <w:pPr>
        <w:widowControl/>
        <w:snapToGrid w:val="0"/>
        <w:spacing w:line="360" w:lineRule="auto"/>
        <w:ind w:firstLine="456"/>
        <w:rPr>
          <w:rFonts w:ascii="宋体" w:cs="宋体"/>
          <w:kern w:val="0"/>
          <w:szCs w:val="21"/>
        </w:rPr>
      </w:pPr>
      <w:r>
        <w:rPr>
          <w:rFonts w:hint="eastAsia" w:ascii="宋体" w:hAnsi="宋体" w:cs="宋体"/>
          <w:kern w:val="0"/>
          <w:szCs w:val="21"/>
        </w:rPr>
        <w:t>经上述初步评审合格的投标人进入下一程序的符合性评审，经上述资格审查不合格的投标文件按照无效标处理。</w:t>
      </w:r>
    </w:p>
    <w:p>
      <w:pPr>
        <w:widowControl/>
        <w:snapToGrid w:val="0"/>
        <w:spacing w:line="360" w:lineRule="auto"/>
        <w:ind w:firstLine="456"/>
        <w:jc w:val="left"/>
        <w:rPr>
          <w:rFonts w:ascii="宋体" w:cs="宋体"/>
          <w:b/>
          <w:bCs/>
          <w:kern w:val="0"/>
          <w:szCs w:val="21"/>
        </w:rPr>
      </w:pPr>
      <w:r>
        <w:rPr>
          <w:rFonts w:hint="eastAsia" w:ascii="宋体" w:hAnsi="宋体" w:cs="宋体"/>
          <w:b/>
          <w:bCs/>
          <w:kern w:val="0"/>
          <w:szCs w:val="21"/>
        </w:rPr>
        <w:t>（二）符合性评审</w:t>
      </w:r>
    </w:p>
    <w:p>
      <w:pPr>
        <w:widowControl/>
        <w:snapToGrid w:val="0"/>
        <w:spacing w:line="360" w:lineRule="auto"/>
        <w:ind w:firstLine="456"/>
        <w:rPr>
          <w:rFonts w:ascii="宋体" w:cs="宋体"/>
          <w:kern w:val="0"/>
          <w:szCs w:val="21"/>
        </w:rPr>
      </w:pPr>
      <w:r>
        <w:rPr>
          <w:rFonts w:hint="eastAsia" w:ascii="宋体" w:hAnsi="宋体" w:cs="宋体"/>
          <w:kern w:val="0"/>
          <w:szCs w:val="21"/>
        </w:rPr>
        <w:t>评标委员会应依照招标文件的要求和规定，对投标人的投标资格和投标文件进行符合性审查。</w:t>
      </w:r>
    </w:p>
    <w:p>
      <w:pPr>
        <w:widowControl/>
        <w:snapToGrid w:val="0"/>
        <w:spacing w:line="360" w:lineRule="auto"/>
        <w:ind w:firstLine="456"/>
        <w:rPr>
          <w:rFonts w:ascii="宋体" w:cs="宋体"/>
          <w:kern w:val="0"/>
          <w:szCs w:val="21"/>
        </w:rPr>
      </w:pPr>
      <w:r>
        <w:rPr>
          <w:rFonts w:hint="eastAsia" w:ascii="宋体" w:hAnsi="宋体" w:cs="宋体"/>
          <w:kern w:val="0"/>
          <w:szCs w:val="21"/>
        </w:rPr>
        <w:t>符合性审查应包括三个方面内容：投标人资格审查、投标文件实质性内容审查、招标文件要求响应性审查。符合性审查未通过的投标文件不再进入后续评审。</w:t>
      </w:r>
    </w:p>
    <w:p>
      <w:pPr>
        <w:widowControl/>
        <w:snapToGrid w:val="0"/>
        <w:spacing w:line="360" w:lineRule="auto"/>
        <w:ind w:firstLine="456"/>
        <w:rPr>
          <w:rFonts w:ascii="宋体" w:cs="宋体"/>
          <w:kern w:val="0"/>
          <w:szCs w:val="21"/>
        </w:rPr>
      </w:pPr>
      <w:r>
        <w:rPr>
          <w:rFonts w:hint="eastAsia" w:ascii="宋体" w:hAnsi="宋体" w:cs="宋体"/>
          <w:kern w:val="0"/>
          <w:szCs w:val="21"/>
        </w:rPr>
        <w:t>投标人不得通过补充、修改或撤消投标文件中的内容使其成为实质性响应的投标。投标人在投标截止以后不得提交任何资料作为评标依据。</w:t>
      </w:r>
      <w:r>
        <w:rPr>
          <w:rFonts w:ascii="宋体" w:hAnsi="宋体" w:cs="宋体"/>
          <w:kern w:val="0"/>
          <w:szCs w:val="21"/>
        </w:rPr>
        <w:t xml:space="preserve"> </w:t>
      </w:r>
    </w:p>
    <w:p>
      <w:pPr>
        <w:widowControl/>
        <w:snapToGrid w:val="0"/>
        <w:spacing w:line="360" w:lineRule="auto"/>
        <w:ind w:firstLine="456"/>
        <w:rPr>
          <w:rFonts w:ascii="宋体" w:cs="宋体"/>
          <w:kern w:val="0"/>
          <w:szCs w:val="21"/>
        </w:rPr>
      </w:pPr>
      <w:r>
        <w:rPr>
          <w:rFonts w:hint="eastAsia" w:ascii="宋体" w:hAnsi="宋体" w:cs="宋体"/>
          <w:kern w:val="0"/>
          <w:szCs w:val="21"/>
        </w:rPr>
        <w:t>投标文件存在以下情况之一的，经评标委员会成员（少数服从多数）认定，</w:t>
      </w:r>
      <w:r>
        <w:rPr>
          <w:rFonts w:hint="eastAsia"/>
          <w:szCs w:val="21"/>
        </w:rPr>
        <w:t>按照</w:t>
      </w:r>
      <w:r>
        <w:rPr>
          <w:rFonts w:hint="eastAsia"/>
          <w:b/>
          <w:szCs w:val="21"/>
        </w:rPr>
        <w:t>无效投标</w:t>
      </w:r>
      <w:r>
        <w:rPr>
          <w:rFonts w:hint="eastAsia"/>
          <w:szCs w:val="21"/>
        </w:rPr>
        <w:t>处理。</w:t>
      </w:r>
      <w:r>
        <w:rPr>
          <w:rFonts w:hint="eastAsia" w:ascii="宋体" w:hAnsi="宋体" w:cs="宋体"/>
          <w:kern w:val="0"/>
          <w:szCs w:val="21"/>
        </w:rPr>
        <w:t>作为符合性审查未通过予以否决，不再进行资信业绩、技术和报价的评审：</w:t>
      </w:r>
    </w:p>
    <w:p>
      <w:pPr>
        <w:widowControl/>
        <w:snapToGrid w:val="0"/>
        <w:spacing w:line="360" w:lineRule="auto"/>
        <w:ind w:firstLine="456"/>
        <w:rPr>
          <w:rFonts w:ascii="宋体" w:cs="宋体"/>
          <w:b/>
          <w:kern w:val="0"/>
          <w:szCs w:val="21"/>
        </w:rPr>
      </w:pPr>
      <w:r>
        <w:rPr>
          <w:rFonts w:hint="eastAsia" w:ascii="宋体" w:hAnsi="宋体" w:cs="宋体"/>
          <w:b/>
          <w:kern w:val="0"/>
          <w:szCs w:val="21"/>
        </w:rPr>
        <w:t>★技术文件符合性评审内容：</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1</w:t>
      </w:r>
      <w:r>
        <w:rPr>
          <w:rFonts w:hint="eastAsia" w:ascii="宋体" w:hAnsi="宋体" w:cs="宋体"/>
          <w:b/>
          <w:kern w:val="0"/>
          <w:szCs w:val="21"/>
          <w:u w:val="single"/>
        </w:rPr>
        <w:t>）投标人的投标资格不满足国家有关规定的；</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2</w:t>
      </w:r>
      <w:r>
        <w:rPr>
          <w:rFonts w:hint="eastAsia" w:ascii="宋体" w:hAnsi="宋体" w:cs="宋体"/>
          <w:b/>
          <w:kern w:val="0"/>
          <w:szCs w:val="21"/>
          <w:u w:val="single"/>
        </w:rPr>
        <w:t>）投标人的资质、业绩等条件不满足招标文件载明的强制性要求的；</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3</w:t>
      </w:r>
      <w:r>
        <w:rPr>
          <w:rFonts w:hint="eastAsia" w:ascii="宋体" w:hAnsi="宋体" w:cs="宋体"/>
          <w:b/>
          <w:kern w:val="0"/>
          <w:szCs w:val="21"/>
          <w:u w:val="single"/>
        </w:rPr>
        <w:t>）服务不满足用户的使用要求以及商务有重大偏离或保留的；</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4</w:t>
      </w:r>
      <w:r>
        <w:rPr>
          <w:rFonts w:hint="eastAsia" w:ascii="宋体" w:hAnsi="宋体" w:cs="宋体"/>
          <w:b/>
          <w:kern w:val="0"/>
          <w:szCs w:val="21"/>
          <w:u w:val="single"/>
        </w:rPr>
        <w:t>）评标委员会认为投标文件未实质性响应招标文件的要求（具体条文用“★”标示）；</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5</w:t>
      </w:r>
      <w:r>
        <w:rPr>
          <w:rFonts w:hint="eastAsia" w:ascii="宋体" w:hAnsi="宋体" w:cs="宋体"/>
          <w:b/>
          <w:kern w:val="0"/>
          <w:szCs w:val="21"/>
          <w:u w:val="single"/>
        </w:rPr>
        <w:t>）投标人不以自己的名义或未按招标文件要求提供投标保证金或提供的投标保证金有缺陷而不能接受的；</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6</w:t>
      </w:r>
      <w:r>
        <w:rPr>
          <w:rFonts w:hint="eastAsia" w:ascii="宋体" w:hAnsi="宋体" w:cs="宋体"/>
          <w:b/>
          <w:kern w:val="0"/>
          <w:szCs w:val="21"/>
          <w:u w:val="single"/>
        </w:rPr>
        <w:t>）存在串标、抬标或弄虚作假情况的；</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7</w:t>
      </w:r>
      <w:r>
        <w:rPr>
          <w:rFonts w:hint="eastAsia" w:ascii="宋体" w:hAnsi="宋体" w:cs="宋体"/>
          <w:b/>
          <w:kern w:val="0"/>
          <w:szCs w:val="21"/>
          <w:u w:val="single"/>
        </w:rPr>
        <w:t>）在投标截止时间以后邮寄到达或送达的投标文件；</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8</w:t>
      </w:r>
      <w:r>
        <w:rPr>
          <w:rFonts w:hint="eastAsia" w:ascii="宋体" w:hAnsi="宋体" w:cs="宋体"/>
          <w:b/>
          <w:kern w:val="0"/>
          <w:szCs w:val="21"/>
          <w:u w:val="single"/>
        </w:rPr>
        <w:t>）投标人的法定代表人或其授权代表未参加开标会议或未携带有效证件能够证明其身份的；</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9</w:t>
      </w:r>
      <w:r>
        <w:rPr>
          <w:rFonts w:hint="eastAsia" w:ascii="宋体" w:hAnsi="宋体" w:cs="宋体"/>
          <w:b/>
          <w:kern w:val="0"/>
          <w:szCs w:val="21"/>
          <w:u w:val="single"/>
        </w:rPr>
        <w:t>）存在法律、法规、规章规定的其它无效投标情况的。</w:t>
      </w:r>
    </w:p>
    <w:p>
      <w:pPr>
        <w:widowControl/>
        <w:snapToGrid w:val="0"/>
        <w:spacing w:line="360" w:lineRule="auto"/>
        <w:ind w:firstLine="456"/>
        <w:rPr>
          <w:rFonts w:ascii="宋体" w:cs="宋体"/>
          <w:b/>
          <w:kern w:val="0"/>
          <w:szCs w:val="21"/>
        </w:rPr>
      </w:pPr>
      <w:r>
        <w:rPr>
          <w:rFonts w:hint="eastAsia" w:ascii="宋体" w:hAnsi="宋体" w:cs="宋体"/>
          <w:b/>
          <w:kern w:val="0"/>
          <w:szCs w:val="21"/>
        </w:rPr>
        <w:t>★商务报价文件符合性评审内容：</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1</w:t>
      </w:r>
      <w:r>
        <w:rPr>
          <w:rFonts w:hint="eastAsia" w:ascii="宋体" w:hAnsi="宋体" w:cs="宋体"/>
          <w:b/>
          <w:kern w:val="0"/>
          <w:szCs w:val="21"/>
          <w:u w:val="single"/>
        </w:rPr>
        <w:t>）投标不是固定价；</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2</w:t>
      </w:r>
      <w:r>
        <w:rPr>
          <w:rFonts w:hint="eastAsia" w:ascii="宋体" w:hAnsi="宋体" w:cs="宋体"/>
          <w:b/>
          <w:kern w:val="0"/>
          <w:szCs w:val="21"/>
          <w:u w:val="single"/>
        </w:rPr>
        <w:t>）单价不相符，又不接受评标委员会的修正或投标明显不合理而投标人不能合理说明的；</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3</w:t>
      </w:r>
      <w:r>
        <w:rPr>
          <w:rFonts w:hint="eastAsia" w:ascii="宋体" w:hAnsi="宋体" w:cs="宋体"/>
          <w:b/>
          <w:kern w:val="0"/>
          <w:szCs w:val="21"/>
          <w:u w:val="single"/>
        </w:rPr>
        <w:t>）投标人在投标文件中对同一标段有两个或多个报价，且未书面声明以哪个为最终报价；</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4</w:t>
      </w:r>
      <w:r>
        <w:rPr>
          <w:rFonts w:hint="eastAsia" w:ascii="宋体" w:hAnsi="宋体" w:cs="宋体"/>
          <w:b/>
          <w:kern w:val="0"/>
          <w:szCs w:val="21"/>
          <w:u w:val="single"/>
        </w:rPr>
        <w:t>）投标报价超过最高限价的；</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5</w:t>
      </w:r>
      <w:r>
        <w:rPr>
          <w:rFonts w:hint="eastAsia" w:ascii="宋体" w:hAnsi="宋体" w:cs="宋体"/>
          <w:b/>
          <w:kern w:val="0"/>
          <w:szCs w:val="21"/>
          <w:u w:val="single"/>
        </w:rPr>
        <w:t>）存在串标、抬标或弄虚作假情况的；</w:t>
      </w:r>
    </w:p>
    <w:p>
      <w:pPr>
        <w:widowControl/>
        <w:snapToGrid w:val="0"/>
        <w:spacing w:line="360" w:lineRule="auto"/>
        <w:ind w:firstLine="456"/>
        <w:rPr>
          <w:rFonts w:ascii="宋体" w:cs="宋体"/>
          <w:b/>
          <w:kern w:val="0"/>
          <w:szCs w:val="21"/>
          <w:u w:val="single"/>
        </w:rPr>
      </w:pPr>
      <w:r>
        <w:rPr>
          <w:rFonts w:hint="eastAsia" w:ascii="宋体" w:hAnsi="宋体" w:cs="宋体"/>
          <w:b/>
          <w:kern w:val="0"/>
          <w:szCs w:val="21"/>
          <w:u w:val="single"/>
        </w:rPr>
        <w:t>（</w:t>
      </w:r>
      <w:r>
        <w:rPr>
          <w:rFonts w:ascii="宋体" w:hAnsi="宋体" w:cs="宋体"/>
          <w:b/>
          <w:kern w:val="0"/>
          <w:szCs w:val="21"/>
          <w:u w:val="single"/>
        </w:rPr>
        <w:t>6</w:t>
      </w:r>
      <w:r>
        <w:rPr>
          <w:rFonts w:hint="eastAsia" w:ascii="宋体" w:hAnsi="宋体" w:cs="宋体"/>
          <w:b/>
          <w:kern w:val="0"/>
          <w:szCs w:val="21"/>
          <w:u w:val="single"/>
        </w:rPr>
        <w:t>）存在法律、法规、规章规定的其它无效投标情况的。</w:t>
      </w:r>
    </w:p>
    <w:p>
      <w:pPr>
        <w:widowControl/>
        <w:snapToGrid w:val="0"/>
        <w:spacing w:line="360" w:lineRule="auto"/>
        <w:ind w:firstLine="456"/>
        <w:rPr>
          <w:rFonts w:ascii="宋体" w:cs="宋体"/>
          <w:b/>
          <w:bCs/>
          <w:kern w:val="0"/>
          <w:szCs w:val="21"/>
        </w:rPr>
      </w:pPr>
      <w:r>
        <w:rPr>
          <w:rFonts w:hint="eastAsia" w:ascii="宋体" w:hAnsi="宋体" w:cs="宋体"/>
          <w:b/>
          <w:bCs/>
          <w:kern w:val="0"/>
          <w:szCs w:val="21"/>
        </w:rPr>
        <w:t>（三）投标文件的澄清</w:t>
      </w:r>
    </w:p>
    <w:p>
      <w:pPr>
        <w:widowControl/>
        <w:snapToGrid w:val="0"/>
        <w:spacing w:line="360" w:lineRule="auto"/>
        <w:ind w:firstLine="456"/>
        <w:rPr>
          <w:rFonts w:ascii="宋体" w:cs="宋体"/>
          <w:kern w:val="0"/>
          <w:szCs w:val="21"/>
        </w:rPr>
      </w:pPr>
      <w:r>
        <w:rPr>
          <w:rFonts w:hint="eastAsia" w:ascii="宋体" w:hAnsi="宋体" w:cs="宋体"/>
          <w:kern w:val="0"/>
          <w:szCs w:val="21"/>
        </w:rPr>
        <w:t>为了有助于投标文件的审查、评价和比较，根据需要，可以要求投标人对投标文件含义不明确的内容作必要的澄清或说明。有关澄清的要求与答复应采用书面形式，但不应寻求、提出或允许更改投标价格或投标文件的实质性内容。评标委员会在评标时发现的错误所进行的核实修正除外。</w:t>
      </w:r>
    </w:p>
    <w:p>
      <w:pPr>
        <w:widowControl/>
        <w:snapToGrid w:val="0"/>
        <w:spacing w:line="360" w:lineRule="auto"/>
        <w:ind w:firstLine="456"/>
        <w:rPr>
          <w:rFonts w:ascii="宋体" w:cs="宋体"/>
          <w:b/>
          <w:bCs/>
          <w:kern w:val="0"/>
          <w:szCs w:val="21"/>
        </w:rPr>
      </w:pPr>
      <w:r>
        <w:rPr>
          <w:rFonts w:hint="eastAsia" w:ascii="宋体" w:hAnsi="宋体" w:cs="宋体"/>
          <w:b/>
          <w:bCs/>
          <w:kern w:val="0"/>
          <w:szCs w:val="21"/>
        </w:rPr>
        <w:t>（四）详细评审</w:t>
      </w:r>
    </w:p>
    <w:p>
      <w:pPr>
        <w:widowControl/>
        <w:snapToGrid w:val="0"/>
        <w:spacing w:line="360" w:lineRule="auto"/>
        <w:ind w:firstLine="456"/>
        <w:rPr>
          <w:rFonts w:ascii="宋体" w:cs="宋体"/>
          <w:kern w:val="0"/>
          <w:szCs w:val="21"/>
        </w:rPr>
      </w:pPr>
      <w:r>
        <w:rPr>
          <w:rFonts w:ascii="宋体" w:hAnsi="宋体" w:cs="宋体"/>
          <w:kern w:val="0"/>
          <w:szCs w:val="21"/>
        </w:rPr>
        <w:t>1</w:t>
      </w:r>
      <w:r>
        <w:rPr>
          <w:rFonts w:hint="eastAsia" w:ascii="宋体" w:hAnsi="宋体" w:cs="宋体"/>
          <w:kern w:val="0"/>
          <w:szCs w:val="21"/>
        </w:rPr>
        <w:t>、评标委员会将仅对通过初步评审和投标文件，进行详细评审。</w:t>
      </w:r>
    </w:p>
    <w:p>
      <w:pPr>
        <w:widowControl/>
        <w:snapToGrid w:val="0"/>
        <w:spacing w:line="360" w:lineRule="auto"/>
        <w:ind w:firstLine="456"/>
        <w:rPr>
          <w:rFonts w:ascii="宋体" w:cs="宋体"/>
          <w:kern w:val="0"/>
          <w:szCs w:val="21"/>
        </w:rPr>
      </w:pPr>
      <w:r>
        <w:rPr>
          <w:rFonts w:ascii="宋体" w:hAnsi="宋体" w:cs="宋体"/>
          <w:kern w:val="0"/>
          <w:szCs w:val="21"/>
        </w:rPr>
        <w:t>2</w:t>
      </w:r>
      <w:r>
        <w:rPr>
          <w:rFonts w:hint="eastAsia" w:ascii="宋体" w:hAnsi="宋体" w:cs="宋体"/>
          <w:kern w:val="0"/>
          <w:szCs w:val="21"/>
        </w:rPr>
        <w:t>、评标采用综合评分法，评标委员会将对通过资格及实质响应性审查的各合格投标人，按评标细则的规定和要求进行评审。计算出各合格投标人的综合得分，按综合得分从高到低依次排序，若有相同的得分，则其中投标总价低的投标人将被排序在前。综合得分排序最前两名推荐为中标候选人和备选中标候选人，推荐综合得分排序第一名为中标候选人，综合得分排序第二名为备选中标候选人。</w:t>
      </w:r>
    </w:p>
    <w:p>
      <w:pPr>
        <w:widowControl/>
        <w:snapToGrid w:val="0"/>
        <w:spacing w:line="360" w:lineRule="auto"/>
        <w:ind w:firstLine="456"/>
        <w:rPr>
          <w:rFonts w:ascii="宋体" w:cs="宋体"/>
          <w:kern w:val="0"/>
          <w:szCs w:val="21"/>
        </w:rPr>
      </w:pPr>
      <w:r>
        <w:rPr>
          <w:rFonts w:ascii="宋体" w:hAnsi="宋体" w:cs="宋体"/>
          <w:kern w:val="0"/>
          <w:szCs w:val="21"/>
        </w:rPr>
        <w:t>3</w:t>
      </w:r>
      <w:r>
        <w:rPr>
          <w:rFonts w:hint="eastAsia" w:ascii="宋体" w:hAnsi="宋体" w:cs="宋体"/>
          <w:kern w:val="0"/>
          <w:szCs w:val="21"/>
        </w:rPr>
        <w:t>、评标委员会根据投标人的报价情况，对投标人的商务报价进行统一打分，资信及技术由评标委员会独立打分；投标人最终得分为各专家评分总和的平均值。所有分值保留</w:t>
      </w:r>
      <w:r>
        <w:rPr>
          <w:rFonts w:ascii="宋体" w:hAnsi="宋体" w:cs="宋体"/>
          <w:kern w:val="0"/>
          <w:szCs w:val="21"/>
        </w:rPr>
        <w:t>1</w:t>
      </w:r>
      <w:r>
        <w:rPr>
          <w:rFonts w:hint="eastAsia" w:ascii="宋体" w:hAnsi="宋体" w:cs="宋体"/>
          <w:kern w:val="0"/>
          <w:szCs w:val="21"/>
        </w:rPr>
        <w:t>位小数。若评标委员会的评分表中计分不在分值范围内的，则该评分表无效。</w:t>
      </w:r>
    </w:p>
    <w:p>
      <w:pPr>
        <w:widowControl/>
        <w:snapToGrid w:val="0"/>
        <w:spacing w:line="360" w:lineRule="auto"/>
        <w:ind w:firstLine="456"/>
        <w:rPr>
          <w:rFonts w:ascii="宋体" w:cs="宋体"/>
          <w:kern w:val="0"/>
          <w:szCs w:val="21"/>
        </w:rPr>
      </w:pPr>
      <w:r>
        <w:rPr>
          <w:rFonts w:ascii="宋体" w:hAnsi="宋体" w:cs="宋体"/>
          <w:kern w:val="0"/>
          <w:szCs w:val="21"/>
        </w:rPr>
        <w:t>4</w:t>
      </w:r>
      <w:r>
        <w:rPr>
          <w:rFonts w:hint="eastAsia" w:ascii="宋体" w:hAnsi="宋体" w:cs="宋体"/>
          <w:kern w:val="0"/>
          <w:szCs w:val="21"/>
        </w:rPr>
        <w:t>、评标分值：总分</w:t>
      </w:r>
      <w:r>
        <w:rPr>
          <w:rFonts w:ascii="宋体" w:hAnsi="宋体" w:cs="宋体"/>
          <w:kern w:val="0"/>
          <w:szCs w:val="21"/>
        </w:rPr>
        <w:t>100</w:t>
      </w:r>
      <w:r>
        <w:rPr>
          <w:rFonts w:hint="eastAsia" w:ascii="宋体" w:hAnsi="宋体" w:cs="宋体"/>
          <w:kern w:val="0"/>
          <w:szCs w:val="21"/>
        </w:rPr>
        <w:t>分。所有分值计算过程保留</w:t>
      </w:r>
      <w:r>
        <w:rPr>
          <w:rFonts w:ascii="宋体" w:hAnsi="宋体" w:cs="宋体"/>
          <w:kern w:val="0"/>
          <w:szCs w:val="21"/>
        </w:rPr>
        <w:t>2</w:t>
      </w:r>
      <w:r>
        <w:rPr>
          <w:rFonts w:hint="eastAsia" w:ascii="宋体" w:hAnsi="宋体" w:cs="宋体"/>
          <w:kern w:val="0"/>
          <w:szCs w:val="21"/>
        </w:rPr>
        <w:t>位小数，结果保留</w:t>
      </w:r>
      <w:r>
        <w:rPr>
          <w:rFonts w:ascii="宋体" w:hAnsi="宋体" w:cs="宋体"/>
          <w:kern w:val="0"/>
          <w:szCs w:val="21"/>
        </w:rPr>
        <w:t>1</w:t>
      </w:r>
      <w:r>
        <w:rPr>
          <w:rFonts w:hint="eastAsia" w:ascii="宋体" w:hAnsi="宋体" w:cs="宋体"/>
          <w:kern w:val="0"/>
          <w:szCs w:val="21"/>
        </w:rPr>
        <w:t>位小数，四舍五入。</w:t>
      </w:r>
    </w:p>
    <w:p>
      <w:pPr>
        <w:spacing w:line="380" w:lineRule="exact"/>
        <w:ind w:firstLine="413" w:firstLineChars="196"/>
        <w:rPr>
          <w:rFonts w:ascii="宋体" w:cs="宋体"/>
          <w:b/>
          <w:bCs/>
          <w:kern w:val="0"/>
          <w:szCs w:val="21"/>
        </w:rPr>
      </w:pPr>
      <w:r>
        <w:rPr>
          <w:rFonts w:ascii="宋体" w:hAnsi="宋体" w:cs="宋体"/>
          <w:b/>
          <w:bCs/>
          <w:kern w:val="0"/>
          <w:szCs w:val="21"/>
        </w:rPr>
        <w:t>(1)</w:t>
      </w:r>
      <w:r>
        <w:rPr>
          <w:rFonts w:hint="eastAsia" w:ascii="宋体" w:hAnsi="宋体" w:cs="宋体"/>
          <w:b/>
          <w:bCs/>
          <w:kern w:val="0"/>
          <w:szCs w:val="21"/>
        </w:rPr>
        <w:t>技术评审</w:t>
      </w:r>
      <w:r>
        <w:rPr>
          <w:rFonts w:ascii="宋体" w:cs="宋体"/>
          <w:b/>
          <w:bCs/>
          <w:kern w:val="0"/>
          <w:szCs w:val="21"/>
        </w:rPr>
        <w:t>0</w:t>
      </w:r>
      <w:r>
        <w:rPr>
          <w:rFonts w:hint="eastAsia" w:ascii="宋体" w:hAnsi="宋体" w:cs="宋体"/>
          <w:b/>
          <w:bCs/>
          <w:kern w:val="0"/>
          <w:szCs w:val="21"/>
        </w:rPr>
        <w:t>～</w:t>
      </w:r>
      <w:r>
        <w:rPr>
          <w:rFonts w:ascii="宋体" w:hAnsi="宋体" w:cs="宋体"/>
          <w:b/>
          <w:bCs/>
          <w:kern w:val="0"/>
          <w:szCs w:val="21"/>
        </w:rPr>
        <w:t>70</w:t>
      </w:r>
      <w:r>
        <w:rPr>
          <w:rFonts w:hint="eastAsia" w:ascii="宋体" w:hAnsi="宋体" w:cs="宋体"/>
          <w:b/>
          <w:bCs/>
          <w:kern w:val="0"/>
          <w:szCs w:val="21"/>
        </w:rPr>
        <w:t>分</w:t>
      </w:r>
    </w:p>
    <w:p>
      <w:pPr>
        <w:spacing w:line="360" w:lineRule="auto"/>
        <w:ind w:firstLine="420" w:firstLineChars="200"/>
        <w:rPr>
          <w:rFonts w:ascii="宋体"/>
          <w:szCs w:val="21"/>
        </w:rPr>
      </w:pPr>
      <w:r>
        <w:rPr>
          <w:rFonts w:hint="eastAsia" w:ascii="宋体" w:hAnsi="宋体"/>
          <w:szCs w:val="21"/>
        </w:rPr>
        <w:t>评标委员会按照平等、客观、公正、科学、择优的原则，在澄清、调查核实、评估和比较的基础上，考虑以下因素对投标文件技术部分进行评价：①投标价格的竞争性；②拟供服务对招标文件的满足程度；③服务承诺；④质量保证承诺；⑤经营信誉和合同付款条件及合同执行能力。</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900"/>
        <w:gridCol w:w="1522"/>
        <w:gridCol w:w="1255"/>
        <w:gridCol w:w="1287"/>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4" w:type="dxa"/>
            <w:vMerge w:val="restart"/>
            <w:vAlign w:val="center"/>
          </w:tcPr>
          <w:p>
            <w:pPr>
              <w:spacing w:line="360" w:lineRule="auto"/>
              <w:jc w:val="center"/>
              <w:rPr>
                <w:rFonts w:ascii="宋体"/>
                <w:szCs w:val="21"/>
              </w:rPr>
            </w:pPr>
            <w:r>
              <w:rPr>
                <w:rFonts w:hint="eastAsia" w:ascii="宋体" w:hAnsi="宋体"/>
                <w:szCs w:val="21"/>
              </w:rPr>
              <w:t>评审项目</w:t>
            </w:r>
          </w:p>
        </w:tc>
        <w:tc>
          <w:tcPr>
            <w:tcW w:w="900" w:type="dxa"/>
            <w:vMerge w:val="restart"/>
          </w:tcPr>
          <w:p>
            <w:pPr>
              <w:spacing w:line="360" w:lineRule="auto"/>
              <w:jc w:val="center"/>
              <w:rPr>
                <w:rFonts w:ascii="宋体"/>
                <w:szCs w:val="21"/>
              </w:rPr>
            </w:pPr>
            <w:r>
              <w:rPr>
                <w:rFonts w:hint="eastAsia" w:ascii="宋体" w:hAnsi="宋体"/>
                <w:szCs w:val="21"/>
              </w:rPr>
              <w:t>分值</w:t>
            </w:r>
          </w:p>
          <w:p>
            <w:pPr>
              <w:spacing w:line="360" w:lineRule="auto"/>
              <w:jc w:val="center"/>
              <w:rPr>
                <w:rFonts w:ascii="宋体"/>
                <w:szCs w:val="21"/>
              </w:rPr>
            </w:pPr>
            <w:r>
              <w:rPr>
                <w:rFonts w:hint="eastAsia" w:ascii="宋体" w:hAnsi="宋体"/>
                <w:szCs w:val="21"/>
              </w:rPr>
              <w:t>（分）</w:t>
            </w:r>
          </w:p>
        </w:tc>
        <w:tc>
          <w:tcPr>
            <w:tcW w:w="5257" w:type="dxa"/>
            <w:gridSpan w:val="4"/>
          </w:tcPr>
          <w:p>
            <w:pPr>
              <w:spacing w:line="360" w:lineRule="auto"/>
              <w:jc w:val="center"/>
              <w:rPr>
                <w:rFonts w:ascii="宋体"/>
                <w:szCs w:val="21"/>
              </w:rPr>
            </w:pPr>
            <w:r>
              <w:rPr>
                <w:rFonts w:hint="eastAsia" w:ascii="宋体" w:hAnsi="宋体"/>
                <w:szCs w:val="21"/>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4" w:type="dxa"/>
            <w:vMerge w:val="continue"/>
            <w:vAlign w:val="center"/>
          </w:tcPr>
          <w:p>
            <w:pPr>
              <w:widowControl/>
              <w:jc w:val="left"/>
              <w:rPr>
                <w:rFonts w:ascii="宋体"/>
                <w:szCs w:val="21"/>
              </w:rPr>
            </w:pPr>
          </w:p>
        </w:tc>
        <w:tc>
          <w:tcPr>
            <w:tcW w:w="900" w:type="dxa"/>
            <w:vMerge w:val="continue"/>
            <w:vAlign w:val="center"/>
          </w:tcPr>
          <w:p>
            <w:pPr>
              <w:widowControl/>
              <w:jc w:val="left"/>
              <w:rPr>
                <w:rFonts w:ascii="宋体"/>
                <w:szCs w:val="21"/>
              </w:rPr>
            </w:pPr>
          </w:p>
        </w:tc>
        <w:tc>
          <w:tcPr>
            <w:tcW w:w="1522" w:type="dxa"/>
          </w:tcPr>
          <w:p>
            <w:pPr>
              <w:spacing w:line="360" w:lineRule="auto"/>
              <w:jc w:val="center"/>
              <w:rPr>
                <w:rFonts w:ascii="宋体"/>
                <w:szCs w:val="21"/>
              </w:rPr>
            </w:pPr>
            <w:r>
              <w:rPr>
                <w:rFonts w:hint="eastAsia" w:ascii="宋体" w:hAnsi="宋体"/>
                <w:szCs w:val="21"/>
              </w:rPr>
              <w:t>优</w:t>
            </w:r>
            <w:r>
              <w:rPr>
                <w:rFonts w:ascii="宋体" w:hAnsi="宋体"/>
                <w:szCs w:val="21"/>
              </w:rPr>
              <w:t>100-90%</w:t>
            </w:r>
          </w:p>
        </w:tc>
        <w:tc>
          <w:tcPr>
            <w:tcW w:w="1255" w:type="dxa"/>
          </w:tcPr>
          <w:p>
            <w:pPr>
              <w:spacing w:line="360" w:lineRule="auto"/>
              <w:jc w:val="center"/>
              <w:rPr>
                <w:rFonts w:ascii="宋体"/>
                <w:szCs w:val="21"/>
              </w:rPr>
            </w:pPr>
            <w:r>
              <w:rPr>
                <w:rFonts w:hint="eastAsia" w:ascii="宋体" w:hAnsi="宋体"/>
                <w:szCs w:val="21"/>
              </w:rPr>
              <w:t>良</w:t>
            </w:r>
            <w:r>
              <w:rPr>
                <w:rFonts w:ascii="宋体" w:hAnsi="宋体"/>
                <w:szCs w:val="21"/>
              </w:rPr>
              <w:t>89-70%</w:t>
            </w:r>
          </w:p>
        </w:tc>
        <w:tc>
          <w:tcPr>
            <w:tcW w:w="1287" w:type="dxa"/>
          </w:tcPr>
          <w:p>
            <w:pPr>
              <w:spacing w:line="360" w:lineRule="auto"/>
              <w:jc w:val="center"/>
              <w:rPr>
                <w:rFonts w:ascii="宋体"/>
                <w:szCs w:val="21"/>
              </w:rPr>
            </w:pPr>
            <w:r>
              <w:rPr>
                <w:rFonts w:hint="eastAsia" w:ascii="宋体" w:hAnsi="宋体"/>
                <w:szCs w:val="21"/>
              </w:rPr>
              <w:t>中</w:t>
            </w:r>
            <w:r>
              <w:rPr>
                <w:rFonts w:ascii="宋体" w:hAnsi="宋体"/>
                <w:szCs w:val="21"/>
              </w:rPr>
              <w:t>69-40%</w:t>
            </w:r>
          </w:p>
        </w:tc>
        <w:tc>
          <w:tcPr>
            <w:tcW w:w="1193" w:type="dxa"/>
          </w:tcPr>
          <w:p>
            <w:pPr>
              <w:spacing w:line="360" w:lineRule="auto"/>
              <w:jc w:val="center"/>
              <w:rPr>
                <w:rFonts w:ascii="宋体"/>
                <w:szCs w:val="21"/>
              </w:rPr>
            </w:pPr>
            <w:r>
              <w:rPr>
                <w:rFonts w:hint="eastAsia" w:ascii="宋体" w:hAnsi="宋体"/>
                <w:szCs w:val="21"/>
              </w:rPr>
              <w:t>差</w:t>
            </w:r>
            <w:r>
              <w:rPr>
                <w:rFonts w:ascii="宋体" w:hAnsi="宋体"/>
                <w:szCs w:val="21"/>
              </w:rPr>
              <w:t>&lt;40%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4" w:type="dxa"/>
          </w:tcPr>
          <w:p>
            <w:pPr>
              <w:spacing w:line="360" w:lineRule="auto"/>
              <w:rPr>
                <w:rFonts w:ascii="宋体"/>
                <w:szCs w:val="21"/>
              </w:rPr>
            </w:pPr>
            <w:r>
              <w:rPr>
                <w:rFonts w:hint="eastAsia" w:ascii="宋体" w:hAnsi="宋体"/>
                <w:szCs w:val="21"/>
              </w:rPr>
              <w:t>公司经营实力</w:t>
            </w:r>
          </w:p>
        </w:tc>
        <w:tc>
          <w:tcPr>
            <w:tcW w:w="900" w:type="dxa"/>
          </w:tcPr>
          <w:p>
            <w:pPr>
              <w:spacing w:line="360" w:lineRule="auto"/>
              <w:jc w:val="center"/>
              <w:rPr>
                <w:rFonts w:ascii="宋体"/>
                <w:szCs w:val="21"/>
              </w:rPr>
            </w:pPr>
            <w:r>
              <w:rPr>
                <w:rFonts w:ascii="宋体" w:hAnsi="宋体"/>
                <w:szCs w:val="21"/>
              </w:rPr>
              <w:t>5</w:t>
            </w:r>
          </w:p>
        </w:tc>
        <w:tc>
          <w:tcPr>
            <w:tcW w:w="1522" w:type="dxa"/>
          </w:tcPr>
          <w:p>
            <w:pPr>
              <w:spacing w:line="360" w:lineRule="auto"/>
              <w:jc w:val="center"/>
              <w:rPr>
                <w:rFonts w:ascii="宋体"/>
                <w:szCs w:val="21"/>
              </w:rPr>
            </w:pPr>
          </w:p>
        </w:tc>
        <w:tc>
          <w:tcPr>
            <w:tcW w:w="1255" w:type="dxa"/>
          </w:tcPr>
          <w:p>
            <w:pPr>
              <w:spacing w:line="360" w:lineRule="auto"/>
              <w:jc w:val="center"/>
              <w:rPr>
                <w:rFonts w:ascii="宋体"/>
                <w:szCs w:val="21"/>
              </w:rPr>
            </w:pPr>
          </w:p>
        </w:tc>
        <w:tc>
          <w:tcPr>
            <w:tcW w:w="1287" w:type="dxa"/>
          </w:tcPr>
          <w:p>
            <w:pPr>
              <w:spacing w:line="360" w:lineRule="auto"/>
              <w:jc w:val="center"/>
              <w:rPr>
                <w:rFonts w:ascii="宋体"/>
                <w:szCs w:val="21"/>
              </w:rPr>
            </w:pPr>
          </w:p>
        </w:tc>
        <w:tc>
          <w:tcPr>
            <w:tcW w:w="1193" w:type="dxa"/>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4" w:type="dxa"/>
          </w:tcPr>
          <w:p>
            <w:pPr>
              <w:spacing w:line="360" w:lineRule="auto"/>
              <w:rPr>
                <w:rFonts w:ascii="宋体"/>
                <w:szCs w:val="21"/>
              </w:rPr>
            </w:pPr>
            <w:r>
              <w:rPr>
                <w:rFonts w:hint="eastAsia" w:ascii="宋体" w:hAnsi="宋体"/>
                <w:szCs w:val="21"/>
              </w:rPr>
              <w:t>有市认可的从业资格</w:t>
            </w:r>
          </w:p>
        </w:tc>
        <w:tc>
          <w:tcPr>
            <w:tcW w:w="900" w:type="dxa"/>
          </w:tcPr>
          <w:p>
            <w:pPr>
              <w:spacing w:line="360" w:lineRule="auto"/>
              <w:jc w:val="center"/>
              <w:rPr>
                <w:rFonts w:ascii="宋体"/>
                <w:szCs w:val="21"/>
              </w:rPr>
            </w:pPr>
            <w:r>
              <w:rPr>
                <w:rFonts w:ascii="宋体" w:hAnsi="宋体"/>
                <w:szCs w:val="21"/>
              </w:rPr>
              <w:t>5</w:t>
            </w:r>
          </w:p>
        </w:tc>
        <w:tc>
          <w:tcPr>
            <w:tcW w:w="1522" w:type="dxa"/>
          </w:tcPr>
          <w:p>
            <w:pPr>
              <w:spacing w:line="360" w:lineRule="auto"/>
              <w:jc w:val="center"/>
              <w:rPr>
                <w:rFonts w:ascii="宋体"/>
                <w:szCs w:val="21"/>
              </w:rPr>
            </w:pPr>
          </w:p>
        </w:tc>
        <w:tc>
          <w:tcPr>
            <w:tcW w:w="1255" w:type="dxa"/>
          </w:tcPr>
          <w:p>
            <w:pPr>
              <w:spacing w:line="360" w:lineRule="auto"/>
              <w:jc w:val="center"/>
              <w:rPr>
                <w:rFonts w:ascii="宋体"/>
                <w:szCs w:val="21"/>
              </w:rPr>
            </w:pPr>
          </w:p>
        </w:tc>
        <w:tc>
          <w:tcPr>
            <w:tcW w:w="1287" w:type="dxa"/>
          </w:tcPr>
          <w:p>
            <w:pPr>
              <w:spacing w:line="360" w:lineRule="auto"/>
              <w:jc w:val="center"/>
              <w:rPr>
                <w:rFonts w:ascii="宋体"/>
                <w:szCs w:val="21"/>
              </w:rPr>
            </w:pPr>
          </w:p>
        </w:tc>
        <w:tc>
          <w:tcPr>
            <w:tcW w:w="1193" w:type="dxa"/>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4" w:type="dxa"/>
          </w:tcPr>
          <w:p>
            <w:pPr>
              <w:spacing w:line="360" w:lineRule="auto"/>
              <w:rPr>
                <w:rFonts w:ascii="宋体"/>
                <w:szCs w:val="21"/>
              </w:rPr>
            </w:pPr>
            <w:r>
              <w:rPr>
                <w:rFonts w:hint="eastAsia" w:ascii="宋体" w:hAnsi="宋体"/>
                <w:szCs w:val="21"/>
              </w:rPr>
              <w:t>有本市类似项目的合同书</w:t>
            </w:r>
          </w:p>
        </w:tc>
        <w:tc>
          <w:tcPr>
            <w:tcW w:w="900" w:type="dxa"/>
          </w:tcPr>
          <w:p>
            <w:pPr>
              <w:spacing w:line="360" w:lineRule="auto"/>
              <w:jc w:val="center"/>
              <w:rPr>
                <w:rFonts w:ascii="宋体"/>
                <w:szCs w:val="21"/>
              </w:rPr>
            </w:pPr>
            <w:r>
              <w:rPr>
                <w:rFonts w:ascii="宋体" w:hAnsi="宋体"/>
                <w:szCs w:val="21"/>
              </w:rPr>
              <w:t>5</w:t>
            </w:r>
          </w:p>
        </w:tc>
        <w:tc>
          <w:tcPr>
            <w:tcW w:w="1522" w:type="dxa"/>
          </w:tcPr>
          <w:p>
            <w:pPr>
              <w:spacing w:line="360" w:lineRule="auto"/>
              <w:jc w:val="center"/>
              <w:rPr>
                <w:rFonts w:ascii="宋体"/>
                <w:szCs w:val="21"/>
              </w:rPr>
            </w:pPr>
          </w:p>
        </w:tc>
        <w:tc>
          <w:tcPr>
            <w:tcW w:w="1255" w:type="dxa"/>
          </w:tcPr>
          <w:p>
            <w:pPr>
              <w:spacing w:line="360" w:lineRule="auto"/>
              <w:jc w:val="center"/>
              <w:rPr>
                <w:rFonts w:ascii="宋体"/>
                <w:szCs w:val="21"/>
              </w:rPr>
            </w:pPr>
          </w:p>
        </w:tc>
        <w:tc>
          <w:tcPr>
            <w:tcW w:w="1287" w:type="dxa"/>
          </w:tcPr>
          <w:p>
            <w:pPr>
              <w:spacing w:line="360" w:lineRule="auto"/>
              <w:jc w:val="center"/>
              <w:rPr>
                <w:rFonts w:ascii="宋体"/>
                <w:szCs w:val="21"/>
              </w:rPr>
            </w:pPr>
          </w:p>
        </w:tc>
        <w:tc>
          <w:tcPr>
            <w:tcW w:w="1193" w:type="dxa"/>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4" w:type="dxa"/>
          </w:tcPr>
          <w:p>
            <w:pPr>
              <w:spacing w:line="360" w:lineRule="auto"/>
              <w:rPr>
                <w:rFonts w:ascii="宋体"/>
                <w:szCs w:val="21"/>
              </w:rPr>
            </w:pPr>
            <w:r>
              <w:rPr>
                <w:rFonts w:hint="eastAsia" w:ascii="宋体" w:hAnsi="宋体"/>
                <w:szCs w:val="21"/>
              </w:rPr>
              <w:t>有提供当地部门协议或合作书</w:t>
            </w:r>
          </w:p>
        </w:tc>
        <w:tc>
          <w:tcPr>
            <w:tcW w:w="900" w:type="dxa"/>
          </w:tcPr>
          <w:p>
            <w:pPr>
              <w:spacing w:line="360" w:lineRule="auto"/>
              <w:jc w:val="center"/>
              <w:rPr>
                <w:rFonts w:ascii="宋体"/>
                <w:szCs w:val="21"/>
              </w:rPr>
            </w:pPr>
            <w:r>
              <w:rPr>
                <w:rFonts w:ascii="宋体" w:hAnsi="宋体"/>
                <w:szCs w:val="21"/>
              </w:rPr>
              <w:t>5</w:t>
            </w:r>
          </w:p>
        </w:tc>
        <w:tc>
          <w:tcPr>
            <w:tcW w:w="1522" w:type="dxa"/>
          </w:tcPr>
          <w:p>
            <w:pPr>
              <w:spacing w:line="360" w:lineRule="auto"/>
              <w:jc w:val="center"/>
              <w:rPr>
                <w:rFonts w:ascii="宋体"/>
                <w:szCs w:val="21"/>
              </w:rPr>
            </w:pPr>
          </w:p>
        </w:tc>
        <w:tc>
          <w:tcPr>
            <w:tcW w:w="1255" w:type="dxa"/>
          </w:tcPr>
          <w:p>
            <w:pPr>
              <w:spacing w:line="360" w:lineRule="auto"/>
              <w:jc w:val="center"/>
              <w:rPr>
                <w:rFonts w:ascii="宋体"/>
                <w:szCs w:val="21"/>
              </w:rPr>
            </w:pPr>
          </w:p>
        </w:tc>
        <w:tc>
          <w:tcPr>
            <w:tcW w:w="1287" w:type="dxa"/>
          </w:tcPr>
          <w:p>
            <w:pPr>
              <w:spacing w:line="360" w:lineRule="auto"/>
              <w:jc w:val="center"/>
              <w:rPr>
                <w:rFonts w:ascii="宋体"/>
                <w:szCs w:val="21"/>
              </w:rPr>
            </w:pPr>
          </w:p>
        </w:tc>
        <w:tc>
          <w:tcPr>
            <w:tcW w:w="1193" w:type="dxa"/>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4" w:type="dxa"/>
          </w:tcPr>
          <w:p>
            <w:pPr>
              <w:spacing w:line="360" w:lineRule="auto"/>
              <w:rPr>
                <w:rFonts w:ascii="宋体"/>
                <w:szCs w:val="21"/>
              </w:rPr>
            </w:pPr>
            <w:r>
              <w:rPr>
                <w:rFonts w:hint="eastAsia" w:ascii="宋体" w:hAnsi="宋体"/>
                <w:szCs w:val="21"/>
              </w:rPr>
              <w:t>服务方案</w:t>
            </w:r>
          </w:p>
        </w:tc>
        <w:tc>
          <w:tcPr>
            <w:tcW w:w="900" w:type="dxa"/>
          </w:tcPr>
          <w:p>
            <w:pPr>
              <w:spacing w:line="360" w:lineRule="auto"/>
              <w:jc w:val="center"/>
              <w:rPr>
                <w:rFonts w:ascii="宋体"/>
                <w:szCs w:val="21"/>
              </w:rPr>
            </w:pPr>
            <w:r>
              <w:rPr>
                <w:rFonts w:ascii="宋体" w:hAnsi="宋体"/>
                <w:szCs w:val="21"/>
              </w:rPr>
              <w:t>40</w:t>
            </w:r>
          </w:p>
        </w:tc>
        <w:tc>
          <w:tcPr>
            <w:tcW w:w="1522" w:type="dxa"/>
          </w:tcPr>
          <w:p>
            <w:pPr>
              <w:spacing w:line="360" w:lineRule="auto"/>
              <w:jc w:val="center"/>
              <w:rPr>
                <w:rFonts w:ascii="宋体"/>
                <w:szCs w:val="21"/>
              </w:rPr>
            </w:pPr>
          </w:p>
        </w:tc>
        <w:tc>
          <w:tcPr>
            <w:tcW w:w="1255" w:type="dxa"/>
          </w:tcPr>
          <w:p>
            <w:pPr>
              <w:spacing w:line="360" w:lineRule="auto"/>
              <w:jc w:val="center"/>
              <w:rPr>
                <w:rFonts w:ascii="宋体"/>
                <w:szCs w:val="21"/>
              </w:rPr>
            </w:pPr>
          </w:p>
        </w:tc>
        <w:tc>
          <w:tcPr>
            <w:tcW w:w="1287" w:type="dxa"/>
          </w:tcPr>
          <w:p>
            <w:pPr>
              <w:spacing w:line="360" w:lineRule="auto"/>
              <w:jc w:val="center"/>
              <w:rPr>
                <w:rFonts w:ascii="宋体"/>
                <w:szCs w:val="21"/>
              </w:rPr>
            </w:pPr>
          </w:p>
        </w:tc>
        <w:tc>
          <w:tcPr>
            <w:tcW w:w="1193" w:type="dxa"/>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4" w:type="dxa"/>
          </w:tcPr>
          <w:p>
            <w:pPr>
              <w:spacing w:line="360" w:lineRule="auto"/>
              <w:rPr>
                <w:rFonts w:ascii="宋体"/>
                <w:szCs w:val="21"/>
              </w:rPr>
            </w:pPr>
            <w:r>
              <w:rPr>
                <w:rFonts w:hint="eastAsia" w:ascii="宋体" w:hAnsi="宋体"/>
                <w:szCs w:val="21"/>
              </w:rPr>
              <w:t>服务保障措施</w:t>
            </w:r>
          </w:p>
        </w:tc>
        <w:tc>
          <w:tcPr>
            <w:tcW w:w="900" w:type="dxa"/>
          </w:tcPr>
          <w:p>
            <w:pPr>
              <w:spacing w:line="360" w:lineRule="auto"/>
              <w:jc w:val="center"/>
              <w:rPr>
                <w:rFonts w:ascii="宋体"/>
                <w:szCs w:val="21"/>
              </w:rPr>
            </w:pPr>
            <w:r>
              <w:rPr>
                <w:rFonts w:ascii="宋体" w:hAnsi="宋体"/>
                <w:szCs w:val="21"/>
              </w:rPr>
              <w:t>10</w:t>
            </w:r>
          </w:p>
        </w:tc>
        <w:tc>
          <w:tcPr>
            <w:tcW w:w="1522" w:type="dxa"/>
          </w:tcPr>
          <w:p>
            <w:pPr>
              <w:spacing w:line="360" w:lineRule="auto"/>
              <w:jc w:val="center"/>
              <w:rPr>
                <w:rFonts w:ascii="宋体"/>
                <w:szCs w:val="21"/>
              </w:rPr>
            </w:pPr>
          </w:p>
        </w:tc>
        <w:tc>
          <w:tcPr>
            <w:tcW w:w="1255" w:type="dxa"/>
          </w:tcPr>
          <w:p>
            <w:pPr>
              <w:spacing w:line="360" w:lineRule="auto"/>
              <w:jc w:val="center"/>
              <w:rPr>
                <w:rFonts w:ascii="宋体"/>
                <w:szCs w:val="21"/>
              </w:rPr>
            </w:pPr>
          </w:p>
        </w:tc>
        <w:tc>
          <w:tcPr>
            <w:tcW w:w="1287" w:type="dxa"/>
          </w:tcPr>
          <w:p>
            <w:pPr>
              <w:spacing w:line="360" w:lineRule="auto"/>
              <w:jc w:val="center"/>
              <w:rPr>
                <w:rFonts w:ascii="宋体"/>
                <w:szCs w:val="21"/>
              </w:rPr>
            </w:pPr>
          </w:p>
        </w:tc>
        <w:tc>
          <w:tcPr>
            <w:tcW w:w="1193" w:type="dxa"/>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4" w:type="dxa"/>
          </w:tcPr>
          <w:p>
            <w:pPr>
              <w:spacing w:line="360" w:lineRule="auto"/>
              <w:rPr>
                <w:rFonts w:ascii="宋体"/>
                <w:szCs w:val="21"/>
              </w:rPr>
            </w:pPr>
            <w:r>
              <w:rPr>
                <w:rFonts w:hint="eastAsia" w:ascii="宋体" w:hAnsi="宋体"/>
                <w:szCs w:val="21"/>
              </w:rPr>
              <w:t>合计</w:t>
            </w:r>
          </w:p>
        </w:tc>
        <w:tc>
          <w:tcPr>
            <w:tcW w:w="900" w:type="dxa"/>
          </w:tcPr>
          <w:p>
            <w:pPr>
              <w:spacing w:line="360" w:lineRule="auto"/>
              <w:jc w:val="center"/>
              <w:rPr>
                <w:rFonts w:ascii="宋体"/>
                <w:szCs w:val="21"/>
              </w:rPr>
            </w:pPr>
            <w:r>
              <w:rPr>
                <w:rFonts w:ascii="宋体" w:hAnsi="宋体"/>
                <w:szCs w:val="21"/>
              </w:rPr>
              <w:fldChar w:fldCharType="begin"/>
            </w:r>
            <w:r>
              <w:rPr>
                <w:rFonts w:ascii="宋体" w:hAnsi="宋体"/>
                <w:szCs w:val="21"/>
              </w:rPr>
              <w:instrText xml:space="preserve"> =SUM(ABOVE) </w:instrText>
            </w:r>
            <w:r>
              <w:rPr>
                <w:rFonts w:ascii="宋体" w:hAnsi="宋体"/>
                <w:szCs w:val="21"/>
              </w:rPr>
              <w:fldChar w:fldCharType="separate"/>
            </w:r>
            <w:r>
              <w:rPr>
                <w:rFonts w:ascii="宋体" w:hAnsi="宋体"/>
                <w:szCs w:val="21"/>
              </w:rPr>
              <w:t>70</w:t>
            </w:r>
            <w:r>
              <w:rPr>
                <w:rFonts w:ascii="宋体" w:hAnsi="宋体"/>
                <w:szCs w:val="21"/>
              </w:rPr>
              <w:fldChar w:fldCharType="end"/>
            </w:r>
          </w:p>
        </w:tc>
        <w:tc>
          <w:tcPr>
            <w:tcW w:w="1522" w:type="dxa"/>
          </w:tcPr>
          <w:p>
            <w:pPr>
              <w:spacing w:line="360" w:lineRule="auto"/>
              <w:jc w:val="center"/>
              <w:rPr>
                <w:rFonts w:ascii="宋体"/>
                <w:szCs w:val="21"/>
              </w:rPr>
            </w:pPr>
          </w:p>
        </w:tc>
        <w:tc>
          <w:tcPr>
            <w:tcW w:w="1255" w:type="dxa"/>
          </w:tcPr>
          <w:p>
            <w:pPr>
              <w:spacing w:line="360" w:lineRule="auto"/>
              <w:jc w:val="center"/>
              <w:rPr>
                <w:rFonts w:ascii="宋体"/>
                <w:szCs w:val="21"/>
              </w:rPr>
            </w:pPr>
          </w:p>
        </w:tc>
        <w:tc>
          <w:tcPr>
            <w:tcW w:w="1287" w:type="dxa"/>
          </w:tcPr>
          <w:p>
            <w:pPr>
              <w:spacing w:line="360" w:lineRule="auto"/>
              <w:jc w:val="center"/>
              <w:rPr>
                <w:rFonts w:ascii="宋体"/>
                <w:szCs w:val="21"/>
              </w:rPr>
            </w:pPr>
          </w:p>
        </w:tc>
        <w:tc>
          <w:tcPr>
            <w:tcW w:w="1193" w:type="dxa"/>
          </w:tcPr>
          <w:p>
            <w:pPr>
              <w:spacing w:line="360" w:lineRule="auto"/>
              <w:jc w:val="center"/>
              <w:rPr>
                <w:rFonts w:ascii="宋体"/>
                <w:szCs w:val="21"/>
              </w:rPr>
            </w:pPr>
          </w:p>
        </w:tc>
      </w:tr>
    </w:tbl>
    <w:p>
      <w:pPr>
        <w:spacing w:line="480" w:lineRule="exact"/>
        <w:ind w:firstLine="359" w:firstLineChars="171"/>
      </w:pPr>
      <w:r>
        <w:rPr>
          <w:rFonts w:hint="eastAsia" w:ascii="宋体" w:hAnsi="宋体" w:cs="宋体"/>
          <w:kern w:val="0"/>
          <w:szCs w:val="21"/>
        </w:rPr>
        <w:t>评标委员会根据评分细则对通过资格审查、符合性审查，实质响应性招标文件要求的合格投标人的投标文件进行技术评审。</w:t>
      </w:r>
      <w:r>
        <w:rPr>
          <w:rFonts w:hint="eastAsia"/>
        </w:rPr>
        <w:t>在认真审阅、分析投标书的基础上，按照评分细则的要求和规定由各评分专家独立进行判定评分。</w:t>
      </w:r>
    </w:p>
    <w:p>
      <w:pPr>
        <w:spacing w:line="360" w:lineRule="auto"/>
        <w:ind w:firstLine="405"/>
        <w:rPr>
          <w:szCs w:val="21"/>
        </w:rPr>
      </w:pPr>
      <w:r>
        <w:rPr>
          <w:rFonts w:hint="eastAsia" w:ascii="宋体" w:hAnsi="宋体"/>
          <w:b/>
          <w:szCs w:val="21"/>
        </w:rPr>
        <w:t>（</w:t>
      </w:r>
      <w:r>
        <w:rPr>
          <w:rFonts w:ascii="宋体" w:hAnsi="宋体"/>
          <w:b/>
          <w:szCs w:val="21"/>
        </w:rPr>
        <w:t>2</w:t>
      </w:r>
      <w:r>
        <w:rPr>
          <w:rFonts w:hint="eastAsia" w:ascii="宋体" w:hAnsi="宋体"/>
          <w:b/>
          <w:szCs w:val="21"/>
        </w:rPr>
        <w:t>）</w:t>
      </w:r>
      <w:r>
        <w:rPr>
          <w:rFonts w:hint="eastAsia"/>
          <w:szCs w:val="21"/>
        </w:rPr>
        <w:t>商务报价评审</w:t>
      </w:r>
      <w:r>
        <w:rPr>
          <w:szCs w:val="21"/>
        </w:rPr>
        <w:t>0</w:t>
      </w:r>
      <w:r>
        <w:rPr>
          <w:rFonts w:hint="eastAsia"/>
          <w:szCs w:val="21"/>
        </w:rPr>
        <w:t>～</w:t>
      </w:r>
      <w:r>
        <w:rPr>
          <w:szCs w:val="21"/>
        </w:rPr>
        <w:t>30</w:t>
      </w:r>
      <w:r>
        <w:rPr>
          <w:rFonts w:hint="eastAsia"/>
          <w:szCs w:val="21"/>
        </w:rPr>
        <w:t>分</w:t>
      </w:r>
    </w:p>
    <w:p>
      <w:pPr>
        <w:spacing w:line="360" w:lineRule="auto"/>
        <w:ind w:firstLine="420"/>
        <w:rPr>
          <w:szCs w:val="21"/>
        </w:rPr>
      </w:pPr>
      <w:r>
        <w:rPr>
          <w:rFonts w:hint="eastAsia"/>
          <w:szCs w:val="21"/>
        </w:rPr>
        <w:t>评标委员会对符合性审查通过的投标文件进行商务评审。报价评审应以报价口径范围一致的评标价为依据，凡属招标文件的原因造成报价口径范围不一致的，应予调整，但因投标人自身失误造成多算、少算、漏算的，不得调整。</w:t>
      </w:r>
    </w:p>
    <w:p>
      <w:pPr>
        <w:spacing w:line="360" w:lineRule="auto"/>
        <w:ind w:firstLine="405"/>
        <w:rPr>
          <w:szCs w:val="21"/>
        </w:rPr>
      </w:pPr>
      <w:r>
        <w:rPr>
          <w:szCs w:val="21"/>
        </w:rPr>
        <w:t>1</w:t>
      </w:r>
      <w:r>
        <w:rPr>
          <w:rFonts w:hint="eastAsia"/>
          <w:szCs w:val="21"/>
        </w:rPr>
        <w:t>、商务报价分采用低价优先法计算，即满足招标文件要求且投标价格最低的投标报价为评标基准价，其他投标人的价格分按照下列公式计算：</w:t>
      </w:r>
    </w:p>
    <w:p>
      <w:pPr>
        <w:spacing w:line="360" w:lineRule="auto"/>
        <w:ind w:firstLine="405"/>
        <w:rPr>
          <w:szCs w:val="21"/>
        </w:rPr>
      </w:pPr>
      <w:r>
        <w:rPr>
          <w:rFonts w:hint="eastAsia"/>
          <w:szCs w:val="21"/>
        </w:rPr>
        <w:t>商务报价分</w:t>
      </w:r>
      <w:r>
        <w:rPr>
          <w:szCs w:val="21"/>
        </w:rPr>
        <w:t>=</w:t>
      </w:r>
      <w:r>
        <w:rPr>
          <w:rFonts w:hint="eastAsia"/>
          <w:szCs w:val="21"/>
        </w:rPr>
        <w:t>（评标基准价</w:t>
      </w:r>
      <w:r>
        <w:rPr>
          <w:szCs w:val="21"/>
        </w:rPr>
        <w:t>/</w:t>
      </w:r>
      <w:r>
        <w:rPr>
          <w:rFonts w:hint="eastAsia"/>
          <w:szCs w:val="21"/>
        </w:rPr>
        <w:t>投标报价）×</w:t>
      </w:r>
      <w:r>
        <w:rPr>
          <w:szCs w:val="21"/>
        </w:rPr>
        <w:t>30%</w:t>
      </w:r>
      <w:r>
        <w:rPr>
          <w:rFonts w:hint="eastAsia"/>
          <w:szCs w:val="21"/>
        </w:rPr>
        <w:t>×</w:t>
      </w:r>
      <w:r>
        <w:rPr>
          <w:szCs w:val="21"/>
        </w:rPr>
        <w:t xml:space="preserve">100 </w:t>
      </w:r>
      <w:r>
        <w:rPr>
          <w:rFonts w:hint="eastAsia"/>
          <w:szCs w:val="21"/>
        </w:rPr>
        <w:t>（满分</w:t>
      </w:r>
      <w:r>
        <w:rPr>
          <w:szCs w:val="21"/>
        </w:rPr>
        <w:t>30</w:t>
      </w:r>
      <w:r>
        <w:rPr>
          <w:rFonts w:hint="eastAsia"/>
          <w:szCs w:val="21"/>
        </w:rPr>
        <w:t>分）</w:t>
      </w:r>
    </w:p>
    <w:p>
      <w:pPr>
        <w:spacing w:line="360" w:lineRule="auto"/>
        <w:ind w:firstLine="523" w:firstLineChars="248"/>
        <w:rPr>
          <w:szCs w:val="21"/>
        </w:rPr>
      </w:pPr>
      <w:r>
        <w:rPr>
          <w:rFonts w:ascii="宋体" w:hAnsi="宋体" w:cs="宋体"/>
          <w:b/>
          <w:bCs/>
          <w:kern w:val="0"/>
          <w:szCs w:val="21"/>
        </w:rPr>
        <w:t xml:space="preserve"> (3)</w:t>
      </w:r>
      <w:r>
        <w:rPr>
          <w:rFonts w:hint="eastAsia" w:ascii="宋体" w:hAnsi="宋体" w:cs="宋体"/>
          <w:b/>
          <w:bCs/>
          <w:kern w:val="0"/>
          <w:szCs w:val="21"/>
        </w:rPr>
        <w:t>评审结果</w:t>
      </w:r>
    </w:p>
    <w:p>
      <w:pPr>
        <w:spacing w:line="360" w:lineRule="auto"/>
        <w:ind w:firstLine="405"/>
        <w:rPr>
          <w:szCs w:val="21"/>
        </w:rPr>
      </w:pPr>
      <w:r>
        <w:rPr>
          <w:rFonts w:hint="eastAsia"/>
          <w:szCs w:val="21"/>
        </w:rPr>
        <w:t>根据评标办法规定计算综合得分，各投标人的</w:t>
      </w:r>
      <w:r>
        <w:rPr>
          <w:rFonts w:hint="eastAsia" w:ascii="宋体" w:hAnsi="宋体" w:cs="宋体"/>
          <w:kern w:val="0"/>
          <w:szCs w:val="21"/>
        </w:rPr>
        <w:t>最终</w:t>
      </w:r>
      <w:r>
        <w:rPr>
          <w:rFonts w:hint="eastAsia"/>
          <w:szCs w:val="21"/>
        </w:rPr>
        <w:t>综合得分为其资信及技术评审得分值与其商务报价得分之和（采用四舍五入，计算时保留</w:t>
      </w:r>
      <w:r>
        <w:rPr>
          <w:szCs w:val="21"/>
        </w:rPr>
        <w:t>2</w:t>
      </w:r>
      <w:r>
        <w:rPr>
          <w:rFonts w:hint="eastAsia"/>
          <w:szCs w:val="21"/>
        </w:rPr>
        <w:t>位小数，结果保留</w:t>
      </w:r>
      <w:r>
        <w:rPr>
          <w:szCs w:val="21"/>
        </w:rPr>
        <w:t>1</w:t>
      </w:r>
      <w:r>
        <w:rPr>
          <w:rFonts w:hint="eastAsia"/>
          <w:szCs w:val="21"/>
        </w:rPr>
        <w:t>位小数）。</w:t>
      </w:r>
    </w:p>
    <w:p>
      <w:pPr>
        <w:spacing w:line="360" w:lineRule="auto"/>
        <w:ind w:firstLine="405"/>
        <w:rPr>
          <w:szCs w:val="21"/>
        </w:rPr>
      </w:pPr>
      <w:r>
        <w:rPr>
          <w:rFonts w:hint="eastAsia" w:ascii="宋体" w:hAnsi="宋体" w:cs="宋体"/>
          <w:kern w:val="0"/>
          <w:szCs w:val="21"/>
        </w:rPr>
        <w:t>评标委员会根据最终</w:t>
      </w:r>
      <w:r>
        <w:rPr>
          <w:rFonts w:hint="eastAsia"/>
          <w:szCs w:val="21"/>
        </w:rPr>
        <w:t>综合</w:t>
      </w:r>
      <w:r>
        <w:rPr>
          <w:rFonts w:hint="eastAsia" w:ascii="宋体" w:hAnsi="宋体" w:cs="宋体"/>
          <w:kern w:val="0"/>
          <w:szCs w:val="21"/>
        </w:rPr>
        <w:t>得分的高低排序，若有相同的得分，则其中投标总价低的投标人将被排序在前。推荐</w:t>
      </w:r>
      <w:r>
        <w:rPr>
          <w:rFonts w:hint="eastAsia"/>
          <w:szCs w:val="21"/>
        </w:rPr>
        <w:t>综合</w:t>
      </w:r>
      <w:r>
        <w:rPr>
          <w:rFonts w:hint="eastAsia" w:ascii="宋体" w:hAnsi="宋体" w:cs="宋体"/>
          <w:kern w:val="0"/>
          <w:szCs w:val="21"/>
        </w:rPr>
        <w:t>得分排序最前的</w:t>
      </w:r>
      <w:r>
        <w:rPr>
          <w:rFonts w:ascii="宋体" w:hAnsi="宋体" w:cs="宋体"/>
          <w:kern w:val="0"/>
          <w:szCs w:val="21"/>
        </w:rPr>
        <w:t>2</w:t>
      </w:r>
      <w:r>
        <w:rPr>
          <w:rFonts w:hint="eastAsia" w:ascii="宋体" w:hAnsi="宋体" w:cs="宋体"/>
          <w:kern w:val="0"/>
          <w:szCs w:val="21"/>
        </w:rPr>
        <w:t>名分别为中标候选人和备选中标候选人，推荐</w:t>
      </w:r>
      <w:r>
        <w:rPr>
          <w:rFonts w:hint="eastAsia"/>
          <w:szCs w:val="21"/>
        </w:rPr>
        <w:t>综合得分排序最前第一名为</w:t>
      </w:r>
      <w:r>
        <w:rPr>
          <w:rFonts w:hint="eastAsia" w:ascii="宋体" w:hAnsi="宋体" w:cs="宋体"/>
          <w:kern w:val="0"/>
          <w:szCs w:val="21"/>
        </w:rPr>
        <w:t>中标候选人，推荐</w:t>
      </w:r>
      <w:r>
        <w:rPr>
          <w:rFonts w:hint="eastAsia"/>
          <w:szCs w:val="21"/>
        </w:rPr>
        <w:t>综合得分排序最前第二名为</w:t>
      </w:r>
      <w:r>
        <w:rPr>
          <w:rFonts w:hint="eastAsia" w:ascii="宋体" w:hAnsi="宋体" w:cs="宋体"/>
          <w:kern w:val="0"/>
          <w:szCs w:val="21"/>
        </w:rPr>
        <w:t>备选中标候选人</w:t>
      </w:r>
      <w:r>
        <w:rPr>
          <w:rFonts w:hint="eastAsia"/>
          <w:szCs w:val="21"/>
        </w:rPr>
        <w:t>。</w:t>
      </w:r>
    </w:p>
    <w:p>
      <w:pPr>
        <w:widowControl/>
        <w:snapToGrid w:val="0"/>
        <w:spacing w:line="360" w:lineRule="auto"/>
        <w:ind w:firstLine="456"/>
        <w:rPr>
          <w:rFonts w:ascii="宋体" w:cs="宋体"/>
          <w:b/>
          <w:bCs/>
          <w:kern w:val="0"/>
          <w:szCs w:val="21"/>
        </w:rPr>
      </w:pPr>
      <w:r>
        <w:rPr>
          <w:rFonts w:hint="eastAsia" w:ascii="宋体" w:hAnsi="宋体" w:cs="宋体"/>
          <w:b/>
          <w:bCs/>
          <w:kern w:val="0"/>
          <w:szCs w:val="21"/>
        </w:rPr>
        <w:t>四、评标报告</w:t>
      </w:r>
      <w:r>
        <w:rPr>
          <w:rFonts w:ascii="宋体" w:cs="宋体"/>
          <w:b/>
          <w:bCs/>
          <w:kern w:val="0"/>
          <w:szCs w:val="21"/>
        </w:rPr>
        <w:tab/>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评标委员会应根据评标情况和结果，向招标人提交评标报告。评标报告由评标委员会起草，按少数服从多数的原则通过。评标委员会全体成员都应在评标报告上签字认可，评标专家如有保留意见可以在评标报告中阐明。</w:t>
      </w:r>
    </w:p>
    <w:p>
      <w:pPr>
        <w:widowControl/>
        <w:snapToGrid w:val="0"/>
        <w:spacing w:line="360" w:lineRule="auto"/>
        <w:ind w:firstLine="456"/>
        <w:rPr>
          <w:rFonts w:ascii="宋体" w:cs="宋体"/>
          <w:b/>
          <w:bCs/>
          <w:kern w:val="0"/>
          <w:szCs w:val="21"/>
        </w:rPr>
      </w:pPr>
      <w:r>
        <w:rPr>
          <w:rFonts w:hint="eastAsia" w:ascii="宋体" w:hAnsi="宋体" w:cs="宋体"/>
          <w:b/>
          <w:bCs/>
          <w:kern w:val="0"/>
          <w:szCs w:val="21"/>
        </w:rPr>
        <w:t>五、其他</w:t>
      </w:r>
    </w:p>
    <w:p>
      <w:pPr>
        <w:widowControl/>
        <w:snapToGrid w:val="0"/>
        <w:spacing w:line="360" w:lineRule="auto"/>
        <w:ind w:firstLine="480"/>
        <w:rPr>
          <w:kern w:val="0"/>
          <w:szCs w:val="21"/>
        </w:rPr>
      </w:pPr>
      <w:r>
        <w:rPr>
          <w:rFonts w:hint="eastAsia"/>
          <w:kern w:val="0"/>
          <w:szCs w:val="21"/>
        </w:rPr>
        <w:t>各位评标人员应认真﹑客观﹑公正对待每个投标人，遵守评标纪律，不得泄漏任何评标信息，如违规违纪者，将严肃查处。</w:t>
      </w:r>
    </w:p>
    <w:p>
      <w:pPr>
        <w:widowControl/>
        <w:snapToGrid w:val="0"/>
        <w:spacing w:line="360" w:lineRule="auto"/>
        <w:ind w:firstLine="480"/>
        <w:rPr>
          <w:rFonts w:ascii="宋体"/>
          <w:kern w:val="0"/>
          <w:szCs w:val="21"/>
        </w:rPr>
      </w:pPr>
      <w:r>
        <w:rPr>
          <w:rFonts w:hint="eastAsia"/>
          <w:kern w:val="0"/>
          <w:szCs w:val="21"/>
        </w:rPr>
        <w:t>评标中，如发现有二份及以上投标文件的相互之间有相同或高度相似之处，且经询标澄清投标人无令人信服的理由和可靠证据证明其合理性的，经评标委员会半数以上成员认定有串通投标嫌疑的，其投标文件均按无效标处理，予以废除，不再对其进行评审，也不影响招标工程继续评标。评标结束后，评标专家应将有串通投标嫌疑的投标文件以及相关评标分析材料及时移交</w:t>
      </w:r>
      <w:r>
        <w:rPr>
          <w:rFonts w:hint="eastAsia" w:ascii="宋体" w:hAnsi="宋体"/>
          <w:kern w:val="0"/>
          <w:szCs w:val="21"/>
        </w:rPr>
        <w:t>招标人</w:t>
      </w:r>
      <w:r>
        <w:rPr>
          <w:rFonts w:hint="eastAsia"/>
          <w:kern w:val="0"/>
          <w:szCs w:val="21"/>
        </w:rPr>
        <w:t>作进一步的调查处理，即使最终无法认定串通投标行为成立，也不影响对其按无效标处理的结果。</w:t>
      </w:r>
    </w:p>
    <w:p>
      <w:pPr>
        <w:widowControl/>
        <w:snapToGrid w:val="0"/>
        <w:spacing w:line="360" w:lineRule="auto"/>
        <w:ind w:firstLine="456"/>
        <w:jc w:val="left"/>
        <w:rPr>
          <w:rFonts w:ascii="宋体" w:cs="宋体"/>
          <w:kern w:val="0"/>
          <w:szCs w:val="21"/>
        </w:rPr>
      </w:pPr>
      <w:r>
        <w:rPr>
          <w:rFonts w:hint="eastAsia" w:ascii="宋体" w:hAnsi="宋体" w:cs="宋体"/>
          <w:kern w:val="0"/>
          <w:szCs w:val="21"/>
        </w:rPr>
        <w:t>评标结果在拱墅区政府采购网上公示</w:t>
      </w:r>
      <w:r>
        <w:rPr>
          <w:rFonts w:ascii="宋体" w:hAnsi="宋体" w:cs="宋体"/>
          <w:kern w:val="0"/>
          <w:szCs w:val="21"/>
        </w:rPr>
        <w:t>5</w:t>
      </w:r>
      <w:r>
        <w:rPr>
          <w:rFonts w:hint="eastAsia" w:ascii="宋体" w:hAnsi="宋体" w:cs="宋体"/>
          <w:kern w:val="0"/>
          <w:szCs w:val="21"/>
        </w:rPr>
        <w:t>天。投标人和其他利害关系人认为招标投标活动不符合法律、法规和规章规定的，可按有关规定办理。</w:t>
      </w:r>
    </w:p>
    <w:p>
      <w:pPr>
        <w:widowControl/>
        <w:snapToGrid w:val="0"/>
        <w:spacing w:line="360" w:lineRule="auto"/>
        <w:ind w:firstLine="456"/>
        <w:rPr>
          <w:rFonts w:ascii="宋体" w:cs="宋体"/>
          <w:b/>
          <w:bCs/>
          <w:kern w:val="0"/>
          <w:szCs w:val="21"/>
        </w:rPr>
      </w:pPr>
      <w:r>
        <w:rPr>
          <w:rFonts w:hint="eastAsia" w:ascii="宋体" w:hAnsi="宋体" w:cs="宋体"/>
          <w:b/>
          <w:bCs/>
          <w:kern w:val="0"/>
          <w:szCs w:val="21"/>
        </w:rPr>
        <w:t>六、特别声明：价格是评标的重要因素之一，最低报价不是中标的标准。</w:t>
      </w:r>
    </w:p>
    <w:p>
      <w:pPr>
        <w:ind w:firstLine="420"/>
        <w:rPr>
          <w:rFonts w:ascii="宋体"/>
          <w:bCs/>
          <w:szCs w:val="21"/>
        </w:rPr>
      </w:pPr>
    </w:p>
    <w:p>
      <w:pPr>
        <w:pStyle w:val="11"/>
        <w:rPr>
          <w:rFonts w:ascii="宋体" w:eastAsia="宋体" w:cs="宋体"/>
        </w:rPr>
      </w:pPr>
      <w:bookmarkStart w:id="7" w:name="_Toc416249142"/>
    </w:p>
    <w:p>
      <w:pPr>
        <w:pStyle w:val="11"/>
        <w:rPr>
          <w:rFonts w:ascii="宋体" w:eastAsia="宋体" w:cs="宋体"/>
        </w:rPr>
      </w:pPr>
    </w:p>
    <w:bookmarkEnd w:id="7"/>
    <w:p>
      <w:pPr>
        <w:widowControl/>
        <w:jc w:val="center"/>
        <w:rPr>
          <w:rFonts w:ascii="宋体"/>
          <w:szCs w:val="21"/>
        </w:rPr>
      </w:pPr>
    </w:p>
    <w:p>
      <w:pPr>
        <w:pStyle w:val="11"/>
        <w:rPr>
          <w:rFonts w:ascii="宋体" w:eastAsia="宋体" w:cs="宋体"/>
        </w:rPr>
      </w:pPr>
      <w:bookmarkStart w:id="8" w:name="_Toc416249143"/>
    </w:p>
    <w:p>
      <w:pPr>
        <w:pStyle w:val="11"/>
        <w:rPr>
          <w:rFonts w:ascii="宋体" w:eastAsia="宋体" w:cs="宋体"/>
        </w:rPr>
      </w:pPr>
    </w:p>
    <w:p>
      <w:pPr>
        <w:pStyle w:val="11"/>
      </w:pPr>
      <w:r>
        <w:rPr>
          <w:rFonts w:hint="eastAsia" w:ascii="宋体" w:hAnsi="宋体" w:cs="宋体"/>
        </w:rPr>
        <w:t>第六章　投标文件格式</w:t>
      </w:r>
      <w:bookmarkEnd w:id="8"/>
    </w:p>
    <w:p>
      <w:pPr>
        <w:snapToGrid w:val="0"/>
        <w:spacing w:before="50" w:after="50"/>
        <w:outlineLvl w:val="1"/>
        <w:rPr>
          <w:rFonts w:ascii="宋体"/>
          <w:sz w:val="32"/>
          <w:szCs w:val="20"/>
        </w:rPr>
      </w:pPr>
    </w:p>
    <w:p>
      <w:pPr>
        <w:pStyle w:val="5"/>
        <w:tabs>
          <w:tab w:val="left" w:pos="2472"/>
        </w:tabs>
        <w:snapToGrid w:val="0"/>
        <w:spacing w:before="156" w:line="360" w:lineRule="auto"/>
        <w:ind w:firstLine="361" w:firstLineChars="150"/>
        <w:rPr>
          <w:rFonts w:hAnsi="宋体"/>
          <w:b/>
          <w:u w:val="single"/>
        </w:rPr>
      </w:pPr>
      <w:r>
        <w:rPr>
          <w:rFonts w:hint="eastAsia" w:hAnsi="宋体"/>
          <w:b/>
          <w:u w:val="single"/>
        </w:rPr>
        <w:t>特别说明：以下所列仅为部分投标文件的格式，请各供应商在制作投标文件时参照本招标文件第三章、“三、投标文件的编制”要求制作，如因缺项造成无法评标的，责任自负。</w:t>
      </w:r>
    </w:p>
    <w:p>
      <w:pPr>
        <w:pStyle w:val="5"/>
        <w:tabs>
          <w:tab w:val="left" w:pos="2472"/>
        </w:tabs>
        <w:snapToGrid w:val="0"/>
        <w:spacing w:before="156" w:line="240" w:lineRule="auto"/>
        <w:ind w:firstLine="361" w:firstLineChars="150"/>
        <w:rPr>
          <w:rFonts w:hAnsi="宋体"/>
          <w:b/>
          <w:u w:val="single"/>
        </w:rPr>
      </w:pPr>
    </w:p>
    <w:p>
      <w:pPr>
        <w:widowControl/>
        <w:jc w:val="left"/>
        <w:rPr>
          <w:b/>
          <w:sz w:val="84"/>
          <w:szCs w:val="32"/>
        </w:rPr>
      </w:pPr>
      <w:r>
        <w:rPr>
          <w:b/>
          <w:sz w:val="84"/>
          <w:szCs w:val="32"/>
        </w:rPr>
        <w:br w:type="page"/>
      </w:r>
    </w:p>
    <w:p>
      <w:pPr>
        <w:tabs>
          <w:tab w:val="left" w:pos="0"/>
        </w:tabs>
        <w:snapToGrid w:val="0"/>
        <w:spacing w:line="360" w:lineRule="auto"/>
        <w:jc w:val="center"/>
        <w:rPr>
          <w:b/>
          <w:sz w:val="84"/>
          <w:szCs w:val="32"/>
        </w:rPr>
      </w:pPr>
    </w:p>
    <w:sectPr>
      <w:pgSz w:w="11906" w:h="16838"/>
      <w:pgMar w:top="1440" w:right="92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lucida Grande">
    <w:altName w:val="Segoe Print"/>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23C77"/>
    <w:multiLevelType w:val="singleLevel"/>
    <w:tmpl w:val="59623C77"/>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YxMTA3ZjFlMjhlZDhhMWNhZjExOTIwMzg0ODg4OTQifQ=="/>
  </w:docVars>
  <w:rsids>
    <w:rsidRoot w:val="00D31D50"/>
    <w:rsid w:val="00026221"/>
    <w:rsid w:val="001B76A9"/>
    <w:rsid w:val="001F3CF3"/>
    <w:rsid w:val="002472C0"/>
    <w:rsid w:val="002C7FC0"/>
    <w:rsid w:val="00323B43"/>
    <w:rsid w:val="00350B6C"/>
    <w:rsid w:val="00394A51"/>
    <w:rsid w:val="003D37D8"/>
    <w:rsid w:val="00426133"/>
    <w:rsid w:val="004358AB"/>
    <w:rsid w:val="0047011D"/>
    <w:rsid w:val="00554445"/>
    <w:rsid w:val="005802D5"/>
    <w:rsid w:val="005F429A"/>
    <w:rsid w:val="005F4CAB"/>
    <w:rsid w:val="0065217B"/>
    <w:rsid w:val="00671252"/>
    <w:rsid w:val="006B2F94"/>
    <w:rsid w:val="007E476E"/>
    <w:rsid w:val="008130E0"/>
    <w:rsid w:val="008258F0"/>
    <w:rsid w:val="00880AF2"/>
    <w:rsid w:val="008B7726"/>
    <w:rsid w:val="00A44BAE"/>
    <w:rsid w:val="00A60E5A"/>
    <w:rsid w:val="00A70C3D"/>
    <w:rsid w:val="00A71EBE"/>
    <w:rsid w:val="00BC47CF"/>
    <w:rsid w:val="00BC7A4F"/>
    <w:rsid w:val="00C15A22"/>
    <w:rsid w:val="00C77A5E"/>
    <w:rsid w:val="00D31D50"/>
    <w:rsid w:val="00E34532"/>
    <w:rsid w:val="00E41165"/>
    <w:rsid w:val="00E41E52"/>
    <w:rsid w:val="00ED5828"/>
    <w:rsid w:val="00F343D2"/>
    <w:rsid w:val="00F97B33"/>
    <w:rsid w:val="00FA7164"/>
    <w:rsid w:val="00FE77C3"/>
    <w:rsid w:val="6FB01E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9"/>
    <w:uiPriority w:val="99"/>
    <w:pPr>
      <w:ind w:firstLine="420"/>
    </w:pPr>
    <w:rPr>
      <w:rFonts w:eastAsia="微软雅黑"/>
      <w:szCs w:val="20"/>
    </w:rPr>
  </w:style>
  <w:style w:type="paragraph" w:styleId="3">
    <w:name w:val="Body Text"/>
    <w:basedOn w:val="1"/>
    <w:link w:val="31"/>
    <w:uiPriority w:val="99"/>
    <w:pPr>
      <w:spacing w:after="120"/>
    </w:pPr>
    <w:rPr>
      <w:rFonts w:ascii="宋体" w:hAnsi="宋体"/>
      <w:kern w:val="0"/>
      <w:sz w:val="24"/>
      <w:szCs w:val="20"/>
    </w:rPr>
  </w:style>
  <w:style w:type="paragraph" w:styleId="4">
    <w:name w:val="Body Text Indent"/>
    <w:basedOn w:val="1"/>
    <w:link w:val="27"/>
    <w:uiPriority w:val="99"/>
    <w:pPr>
      <w:spacing w:line="200" w:lineRule="exact"/>
      <w:ind w:firstLine="301"/>
    </w:pPr>
    <w:rPr>
      <w:rFonts w:ascii="宋体" w:hAnsi="Courier New"/>
      <w:spacing w:val="-4"/>
      <w:kern w:val="0"/>
      <w:sz w:val="18"/>
      <w:szCs w:val="20"/>
    </w:rPr>
  </w:style>
  <w:style w:type="paragraph" w:styleId="5">
    <w:name w:val="Plain Text"/>
    <w:basedOn w:val="1"/>
    <w:link w:val="35"/>
    <w:uiPriority w:val="99"/>
    <w:pPr>
      <w:spacing w:beforeLines="50" w:line="400" w:lineRule="exact"/>
    </w:pPr>
    <w:rPr>
      <w:rFonts w:ascii="宋体" w:hAnsi="Courier New"/>
      <w:kern w:val="0"/>
      <w:sz w:val="24"/>
      <w:szCs w:val="20"/>
    </w:rPr>
  </w:style>
  <w:style w:type="paragraph" w:styleId="6">
    <w:name w:val="footer"/>
    <w:basedOn w:val="1"/>
    <w:link w:val="16"/>
    <w:semiHidden/>
    <w:uiPriority w:val="99"/>
    <w:pPr>
      <w:tabs>
        <w:tab w:val="center" w:pos="4153"/>
        <w:tab w:val="right" w:pos="8306"/>
      </w:tabs>
    </w:pPr>
    <w:rPr>
      <w:sz w:val="18"/>
      <w:szCs w:val="18"/>
    </w:rPr>
  </w:style>
  <w:style w:type="paragraph" w:styleId="7">
    <w:name w:val="header"/>
    <w:basedOn w:val="1"/>
    <w:link w:val="15"/>
    <w:semiHidden/>
    <w:uiPriority w:val="99"/>
    <w:pPr>
      <w:pBdr>
        <w:bottom w:val="single" w:color="auto" w:sz="6" w:space="1"/>
      </w:pBdr>
      <w:tabs>
        <w:tab w:val="center" w:pos="4153"/>
        <w:tab w:val="right" w:pos="8306"/>
      </w:tabs>
      <w:jc w:val="center"/>
    </w:pPr>
    <w:rPr>
      <w:sz w:val="18"/>
      <w:szCs w:val="18"/>
    </w:rPr>
  </w:style>
  <w:style w:type="paragraph" w:styleId="8">
    <w:name w:val="toc 1"/>
    <w:basedOn w:val="1"/>
    <w:next w:val="1"/>
    <w:uiPriority w:val="99"/>
  </w:style>
  <w:style w:type="paragraph" w:styleId="9">
    <w:name w:val="Body Text Indent 3"/>
    <w:basedOn w:val="1"/>
    <w:link w:val="29"/>
    <w:uiPriority w:val="99"/>
    <w:pPr>
      <w:snapToGrid w:val="0"/>
      <w:ind w:firstLine="480" w:firstLineChars="200"/>
      <w:jc w:val="left"/>
    </w:pPr>
    <w:rPr>
      <w:rFonts w:ascii="仿宋_GB2312" w:hAnsi="宋体" w:eastAsia="仿宋_GB2312"/>
      <w:color w:val="000000"/>
      <w:kern w:val="0"/>
      <w:sz w:val="24"/>
      <w:szCs w:val="20"/>
    </w:rPr>
  </w:style>
  <w:style w:type="paragraph" w:styleId="10">
    <w:name w:val="Body Text 2"/>
    <w:basedOn w:val="1"/>
    <w:link w:val="25"/>
    <w:uiPriority w:val="99"/>
    <w:pPr>
      <w:widowControl/>
      <w:snapToGrid w:val="0"/>
      <w:spacing w:before="50" w:line="400" w:lineRule="exact"/>
      <w:jc w:val="left"/>
    </w:pPr>
    <w:rPr>
      <w:rFonts w:ascii="宋体" w:hAnsi="宋体"/>
      <w:color w:val="000000"/>
      <w:kern w:val="0"/>
      <w:sz w:val="24"/>
      <w:szCs w:val="20"/>
    </w:rPr>
  </w:style>
  <w:style w:type="paragraph" w:styleId="11">
    <w:name w:val="Title"/>
    <w:basedOn w:val="1"/>
    <w:next w:val="1"/>
    <w:link w:val="33"/>
    <w:qFormat/>
    <w:uiPriority w:val="99"/>
    <w:pPr>
      <w:spacing w:before="240" w:after="60"/>
      <w:jc w:val="center"/>
      <w:outlineLvl w:val="0"/>
    </w:pPr>
    <w:rPr>
      <w:rFonts w:ascii="Cambria" w:hAnsi="Cambria" w:eastAsia="微软雅黑"/>
      <w:b/>
      <w:kern w:val="0"/>
      <w:sz w:val="32"/>
      <w:szCs w:val="20"/>
    </w:rPr>
  </w:style>
  <w:style w:type="character" w:styleId="14">
    <w:name w:val="Hyperlink"/>
    <w:basedOn w:val="13"/>
    <w:uiPriority w:val="99"/>
    <w:rPr>
      <w:rFonts w:cs="Times New Roman"/>
      <w:color w:val="0000FF"/>
      <w:u w:val="single"/>
    </w:rPr>
  </w:style>
  <w:style w:type="character" w:customStyle="1" w:styleId="15">
    <w:name w:val="Header Char"/>
    <w:basedOn w:val="13"/>
    <w:link w:val="7"/>
    <w:semiHidden/>
    <w:locked/>
    <w:uiPriority w:val="99"/>
    <w:rPr>
      <w:rFonts w:ascii="Tahoma" w:hAnsi="Tahoma" w:cs="Times New Roman"/>
      <w:sz w:val="18"/>
      <w:szCs w:val="18"/>
    </w:rPr>
  </w:style>
  <w:style w:type="character" w:customStyle="1" w:styleId="16">
    <w:name w:val="Footer Char"/>
    <w:basedOn w:val="13"/>
    <w:link w:val="6"/>
    <w:semiHidden/>
    <w:locked/>
    <w:uiPriority w:val="99"/>
    <w:rPr>
      <w:rFonts w:ascii="Tahoma" w:hAnsi="Tahoma" w:cs="Times New Roman"/>
      <w:sz w:val="18"/>
      <w:szCs w:val="18"/>
    </w:rPr>
  </w:style>
  <w:style w:type="character" w:customStyle="1" w:styleId="17">
    <w:name w:val="Title Char"/>
    <w:locked/>
    <w:uiPriority w:val="99"/>
    <w:rPr>
      <w:rFonts w:ascii="Cambria" w:hAnsi="Cambria"/>
      <w:b/>
      <w:sz w:val="32"/>
    </w:rPr>
  </w:style>
  <w:style w:type="character" w:customStyle="1" w:styleId="18">
    <w:name w:val="Body Text Char"/>
    <w:locked/>
    <w:uiPriority w:val="99"/>
    <w:rPr>
      <w:rFonts w:ascii="宋体" w:hAnsi="宋体" w:eastAsia="宋体"/>
      <w:sz w:val="24"/>
    </w:rPr>
  </w:style>
  <w:style w:type="character" w:customStyle="1" w:styleId="19">
    <w:name w:val="Normal Indent Char"/>
    <w:link w:val="2"/>
    <w:locked/>
    <w:uiPriority w:val="99"/>
    <w:rPr>
      <w:kern w:val="2"/>
      <w:sz w:val="21"/>
    </w:rPr>
  </w:style>
  <w:style w:type="character" w:customStyle="1" w:styleId="20">
    <w:name w:val="Body Text Indent 3 Char"/>
    <w:locked/>
    <w:uiPriority w:val="99"/>
    <w:rPr>
      <w:rFonts w:ascii="仿宋_GB2312" w:hAnsi="宋体" w:eastAsia="仿宋_GB2312"/>
      <w:color w:val="000000"/>
      <w:sz w:val="24"/>
    </w:rPr>
  </w:style>
  <w:style w:type="character" w:customStyle="1" w:styleId="21">
    <w:name w:val="Body Text 2 Char"/>
    <w:locked/>
    <w:uiPriority w:val="99"/>
    <w:rPr>
      <w:rFonts w:ascii="宋体" w:hAnsi="宋体" w:eastAsia="宋体"/>
      <w:color w:val="000000"/>
      <w:sz w:val="24"/>
    </w:rPr>
  </w:style>
  <w:style w:type="character" w:customStyle="1" w:styleId="22">
    <w:name w:val="Plain Text Char"/>
    <w:locked/>
    <w:uiPriority w:val="99"/>
    <w:rPr>
      <w:rFonts w:ascii="宋体" w:hAnsi="Courier New" w:eastAsia="宋体"/>
      <w:sz w:val="24"/>
    </w:rPr>
  </w:style>
  <w:style w:type="character" w:customStyle="1" w:styleId="23">
    <w:name w:val="Body Text Indent Char"/>
    <w:locked/>
    <w:uiPriority w:val="99"/>
    <w:rPr>
      <w:rFonts w:ascii="宋体" w:hAnsi="Courier New" w:eastAsia="宋体"/>
      <w:spacing w:val="-4"/>
      <w:sz w:val="18"/>
    </w:rPr>
  </w:style>
  <w:style w:type="character" w:customStyle="1" w:styleId="24">
    <w:name w:val="Body Text 2 Char1"/>
    <w:basedOn w:val="13"/>
    <w:link w:val="10"/>
    <w:semiHidden/>
    <w:locked/>
    <w:uiPriority w:val="99"/>
    <w:rPr>
      <w:rFonts w:eastAsia="宋体" w:cs="Times New Roman"/>
    </w:rPr>
  </w:style>
  <w:style w:type="character" w:customStyle="1" w:styleId="25">
    <w:name w:val="Body Text 2 Char2"/>
    <w:basedOn w:val="13"/>
    <w:link w:val="10"/>
    <w:semiHidden/>
    <w:locked/>
    <w:uiPriority w:val="99"/>
    <w:rPr>
      <w:rFonts w:ascii="Calibri" w:hAnsi="Calibri" w:eastAsia="宋体" w:cs="Times New Roman"/>
      <w:kern w:val="2"/>
      <w:sz w:val="21"/>
    </w:rPr>
  </w:style>
  <w:style w:type="character" w:customStyle="1" w:styleId="26">
    <w:name w:val="Body Text Indent Char1"/>
    <w:basedOn w:val="13"/>
    <w:link w:val="4"/>
    <w:semiHidden/>
    <w:locked/>
    <w:uiPriority w:val="99"/>
    <w:rPr>
      <w:rFonts w:eastAsia="宋体" w:cs="Times New Roman"/>
    </w:rPr>
  </w:style>
  <w:style w:type="character" w:customStyle="1" w:styleId="27">
    <w:name w:val="Body Text Indent Char2"/>
    <w:basedOn w:val="13"/>
    <w:link w:val="4"/>
    <w:semiHidden/>
    <w:locked/>
    <w:uiPriority w:val="99"/>
    <w:rPr>
      <w:rFonts w:ascii="Calibri" w:hAnsi="Calibri" w:eastAsia="宋体" w:cs="Times New Roman"/>
      <w:kern w:val="2"/>
      <w:sz w:val="21"/>
    </w:rPr>
  </w:style>
  <w:style w:type="character" w:customStyle="1" w:styleId="28">
    <w:name w:val="Body Text Indent 3 Char1"/>
    <w:basedOn w:val="13"/>
    <w:link w:val="9"/>
    <w:semiHidden/>
    <w:locked/>
    <w:uiPriority w:val="99"/>
    <w:rPr>
      <w:rFonts w:eastAsia="宋体" w:cs="Times New Roman"/>
      <w:sz w:val="16"/>
      <w:szCs w:val="16"/>
    </w:rPr>
  </w:style>
  <w:style w:type="character" w:customStyle="1" w:styleId="29">
    <w:name w:val="Body Text Indent 3 Char2"/>
    <w:basedOn w:val="13"/>
    <w:link w:val="9"/>
    <w:semiHidden/>
    <w:locked/>
    <w:uiPriority w:val="99"/>
    <w:rPr>
      <w:rFonts w:ascii="Calibri" w:hAnsi="Calibri" w:eastAsia="宋体" w:cs="Times New Roman"/>
      <w:kern w:val="2"/>
      <w:sz w:val="16"/>
      <w:szCs w:val="16"/>
    </w:rPr>
  </w:style>
  <w:style w:type="character" w:customStyle="1" w:styleId="30">
    <w:name w:val="Body Text Char1"/>
    <w:basedOn w:val="13"/>
    <w:link w:val="3"/>
    <w:semiHidden/>
    <w:locked/>
    <w:uiPriority w:val="99"/>
    <w:rPr>
      <w:rFonts w:eastAsia="宋体" w:cs="Times New Roman"/>
    </w:rPr>
  </w:style>
  <w:style w:type="character" w:customStyle="1" w:styleId="31">
    <w:name w:val="Body Text Char2"/>
    <w:basedOn w:val="13"/>
    <w:link w:val="3"/>
    <w:semiHidden/>
    <w:locked/>
    <w:uiPriority w:val="99"/>
    <w:rPr>
      <w:rFonts w:ascii="Calibri" w:hAnsi="Calibri" w:eastAsia="宋体" w:cs="Times New Roman"/>
      <w:kern w:val="2"/>
      <w:sz w:val="21"/>
    </w:rPr>
  </w:style>
  <w:style w:type="character" w:customStyle="1" w:styleId="32">
    <w:name w:val="Title Char1"/>
    <w:basedOn w:val="13"/>
    <w:link w:val="11"/>
    <w:locked/>
    <w:uiPriority w:val="99"/>
    <w:rPr>
      <w:rFonts w:ascii="Cambria" w:hAnsi="Cambria" w:eastAsia="宋体" w:cs="Times New Roman"/>
      <w:b/>
      <w:bCs/>
      <w:sz w:val="32"/>
      <w:szCs w:val="32"/>
    </w:rPr>
  </w:style>
  <w:style w:type="character" w:customStyle="1" w:styleId="33">
    <w:name w:val="Title Char2"/>
    <w:basedOn w:val="13"/>
    <w:link w:val="11"/>
    <w:locked/>
    <w:uiPriority w:val="99"/>
    <w:rPr>
      <w:rFonts w:ascii="Cambria" w:hAnsi="Cambria" w:eastAsia="宋体" w:cs="Times New Roman"/>
      <w:b/>
      <w:bCs/>
      <w:kern w:val="2"/>
      <w:sz w:val="32"/>
      <w:szCs w:val="32"/>
    </w:rPr>
  </w:style>
  <w:style w:type="character" w:customStyle="1" w:styleId="34">
    <w:name w:val="Plain Text Char1"/>
    <w:basedOn w:val="13"/>
    <w:link w:val="5"/>
    <w:semiHidden/>
    <w:locked/>
    <w:uiPriority w:val="99"/>
    <w:rPr>
      <w:rFonts w:ascii="宋体" w:hAnsi="Courier New" w:eastAsia="宋体" w:cs="Courier New"/>
      <w:sz w:val="21"/>
      <w:szCs w:val="21"/>
    </w:rPr>
  </w:style>
  <w:style w:type="character" w:customStyle="1" w:styleId="35">
    <w:name w:val="Plain Text Char2"/>
    <w:basedOn w:val="13"/>
    <w:link w:val="5"/>
    <w:semiHidden/>
    <w:locked/>
    <w:uiPriority w:val="99"/>
    <w:rPr>
      <w:rFonts w:ascii="宋体" w:hAnsi="Courier New" w:eastAsia="宋体" w:cs="Courier New"/>
      <w:kern w:val="2"/>
      <w:sz w:val="21"/>
      <w:szCs w:val="21"/>
    </w:rPr>
  </w:style>
  <w:style w:type="paragraph" w:customStyle="1" w:styleId="36">
    <w:name w:val="正文段"/>
    <w:basedOn w:val="1"/>
    <w:uiPriority w:val="99"/>
    <w:pPr>
      <w:widowControl/>
      <w:snapToGrid w:val="0"/>
      <w:ind w:firstLine="200" w:firstLineChars="200"/>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16</Pages>
  <Words>1572</Words>
  <Characters>8963</Characters>
  <Lines>0</Lines>
  <Paragraphs>0</Paragraphs>
  <TotalTime>75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小胡来</dc:creator>
  <cp:lastModifiedBy>小胡来</cp:lastModifiedBy>
  <dcterms:modified xsi:type="dcterms:W3CDTF">2024-02-26T07:43:30Z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E1B9567DFDAA4A81BB172AFB5ED58645_12</vt:lpwstr>
  </property>
</Properties>
</file>